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42E" w:rsidRPr="0005642E" w:rsidRDefault="0005642E" w:rsidP="003758E2">
      <w:pPr>
        <w:jc w:val="center"/>
        <w:outlineLvl w:val="0"/>
        <w:rPr>
          <w:b/>
          <w:sz w:val="16"/>
          <w:szCs w:val="16"/>
        </w:rPr>
      </w:pPr>
    </w:p>
    <w:p w:rsidR="004555B0" w:rsidRPr="001F1272" w:rsidRDefault="004555B0" w:rsidP="003758E2">
      <w:pPr>
        <w:jc w:val="center"/>
        <w:outlineLvl w:val="0"/>
        <w:rPr>
          <w:b/>
          <w:sz w:val="32"/>
          <w:szCs w:val="32"/>
        </w:rPr>
      </w:pPr>
      <w:r w:rsidRPr="001F1272">
        <w:rPr>
          <w:b/>
          <w:sz w:val="32"/>
          <w:szCs w:val="32"/>
        </w:rPr>
        <w:t>Bradley Stoke Town Council</w:t>
      </w:r>
    </w:p>
    <w:p w:rsidR="004555B0" w:rsidRPr="00844AE8" w:rsidRDefault="004555B0" w:rsidP="003758E2">
      <w:pPr>
        <w:jc w:val="center"/>
        <w:outlineLvl w:val="0"/>
        <w:rPr>
          <w:b/>
          <w:sz w:val="16"/>
          <w:szCs w:val="16"/>
        </w:rPr>
      </w:pPr>
    </w:p>
    <w:p w:rsidR="00A0759A" w:rsidRPr="001F1272" w:rsidRDefault="007C5D88" w:rsidP="003758E2">
      <w:pPr>
        <w:jc w:val="center"/>
        <w:outlineLvl w:val="0"/>
        <w:rPr>
          <w:b/>
          <w:sz w:val="28"/>
          <w:szCs w:val="28"/>
          <w:u w:val="single"/>
        </w:rPr>
      </w:pPr>
      <w:r w:rsidRPr="001F1272">
        <w:rPr>
          <w:b/>
          <w:sz w:val="28"/>
          <w:szCs w:val="28"/>
          <w:u w:val="single"/>
        </w:rPr>
        <w:t xml:space="preserve">STRATEGIC PLANNING </w:t>
      </w:r>
      <w:r w:rsidR="00BE3513" w:rsidRPr="001F1272">
        <w:rPr>
          <w:b/>
          <w:sz w:val="28"/>
          <w:szCs w:val="28"/>
          <w:u w:val="single"/>
        </w:rPr>
        <w:t>MEETING</w:t>
      </w:r>
      <w:r w:rsidR="004555B0" w:rsidRPr="001F1272">
        <w:rPr>
          <w:b/>
          <w:sz w:val="28"/>
          <w:szCs w:val="28"/>
          <w:u w:val="single"/>
        </w:rPr>
        <w:t xml:space="preserve"> – </w:t>
      </w:r>
      <w:r w:rsidR="00872FF6" w:rsidRPr="001F1272">
        <w:rPr>
          <w:b/>
          <w:sz w:val="28"/>
          <w:szCs w:val="28"/>
          <w:u w:val="single"/>
        </w:rPr>
        <w:t>1</w:t>
      </w:r>
      <w:r w:rsidR="00F9470A">
        <w:rPr>
          <w:b/>
          <w:sz w:val="28"/>
          <w:szCs w:val="28"/>
          <w:u w:val="single"/>
        </w:rPr>
        <w:t>0</w:t>
      </w:r>
      <w:r w:rsidR="004555B0" w:rsidRPr="001F1272">
        <w:rPr>
          <w:b/>
          <w:sz w:val="28"/>
          <w:szCs w:val="28"/>
          <w:u w:val="single"/>
          <w:vertAlign w:val="superscript"/>
        </w:rPr>
        <w:t>th</w:t>
      </w:r>
      <w:r w:rsidR="004555B0" w:rsidRPr="001F1272">
        <w:rPr>
          <w:b/>
          <w:sz w:val="28"/>
          <w:szCs w:val="28"/>
          <w:u w:val="single"/>
        </w:rPr>
        <w:t xml:space="preserve"> September 201</w:t>
      </w:r>
      <w:r w:rsidR="00F9470A">
        <w:rPr>
          <w:b/>
          <w:sz w:val="28"/>
          <w:szCs w:val="28"/>
          <w:u w:val="single"/>
        </w:rPr>
        <w:t>8</w:t>
      </w:r>
    </w:p>
    <w:p w:rsidR="004555B0" w:rsidRPr="001F1272" w:rsidRDefault="004555B0" w:rsidP="007C5D88">
      <w:pPr>
        <w:jc w:val="center"/>
        <w:rPr>
          <w:b/>
          <w:sz w:val="16"/>
          <w:szCs w:val="16"/>
          <w:u w:val="single"/>
        </w:rPr>
      </w:pPr>
    </w:p>
    <w:p w:rsidR="00F9470A" w:rsidRDefault="004555B0" w:rsidP="00F9470A">
      <w:pPr>
        <w:rPr>
          <w:b/>
        </w:rPr>
      </w:pPr>
      <w:r w:rsidRPr="001C4B94">
        <w:rPr>
          <w:b/>
        </w:rPr>
        <w:t>Present:</w:t>
      </w:r>
      <w:r w:rsidRPr="001C4B94">
        <w:rPr>
          <w:b/>
        </w:rPr>
        <w:tab/>
        <w:t>Councillors:</w:t>
      </w:r>
      <w:r w:rsidR="006601CF" w:rsidRPr="001C4B94">
        <w:rPr>
          <w:b/>
        </w:rPr>
        <w:tab/>
      </w:r>
      <w:r w:rsidR="00F9470A" w:rsidRPr="00F9470A">
        <w:t>Roger Avenin</w:t>
      </w:r>
    </w:p>
    <w:p w:rsidR="00F65F74" w:rsidRDefault="00F65F74" w:rsidP="00F9470A">
      <w:pPr>
        <w:ind w:left="2160" w:firstLine="720"/>
      </w:pPr>
      <w:r>
        <w:t>Elaine Hardwick</w:t>
      </w:r>
    </w:p>
    <w:p w:rsidR="00F65F74" w:rsidRDefault="00F9470A" w:rsidP="007C5D88">
      <w:r>
        <w:tab/>
      </w:r>
      <w:r>
        <w:tab/>
      </w:r>
      <w:r w:rsidR="0005642E" w:rsidRPr="001C4B94">
        <w:tab/>
      </w:r>
      <w:r w:rsidR="0005642E" w:rsidRPr="001C4B94">
        <w:tab/>
      </w:r>
      <w:r w:rsidR="00F65F74">
        <w:t>Franklin Owusu-Antwi</w:t>
      </w:r>
    </w:p>
    <w:p w:rsidR="004555B0" w:rsidRPr="001C4B94" w:rsidRDefault="00E5735E" w:rsidP="00F65F74">
      <w:pPr>
        <w:ind w:left="2160" w:firstLine="720"/>
      </w:pPr>
      <w:r w:rsidRPr="001C4B94">
        <w:t>Ben Randles</w:t>
      </w:r>
      <w:r w:rsidR="00F9470A">
        <w:t xml:space="preserve"> (Chair)</w:t>
      </w:r>
    </w:p>
    <w:p w:rsidR="0005642E" w:rsidRDefault="0005642E" w:rsidP="007C5D88">
      <w:r w:rsidRPr="001C4B94">
        <w:tab/>
      </w:r>
      <w:r w:rsidRPr="001C4B94">
        <w:tab/>
      </w:r>
      <w:r w:rsidRPr="001C4B94">
        <w:tab/>
      </w:r>
      <w:r w:rsidRPr="001C4B94">
        <w:tab/>
        <w:t>Andy Ward</w:t>
      </w:r>
      <w:r w:rsidR="00872FF6">
        <w:t xml:space="preserve"> </w:t>
      </w:r>
    </w:p>
    <w:p w:rsidR="00872FF6" w:rsidRDefault="00872FF6" w:rsidP="00872FF6">
      <w:pPr>
        <w:ind w:left="2160" w:firstLine="720"/>
      </w:pPr>
      <w:r>
        <w:t>Marion Ward</w:t>
      </w:r>
    </w:p>
    <w:p w:rsidR="00872FF6" w:rsidRPr="001C4B94" w:rsidRDefault="00872FF6" w:rsidP="007C5D88"/>
    <w:p w:rsidR="004555B0" w:rsidRPr="001C4B94" w:rsidRDefault="0030377A" w:rsidP="007C5D88">
      <w:r w:rsidRPr="001C4B94">
        <w:tab/>
      </w:r>
      <w:r w:rsidRPr="001C4B94">
        <w:tab/>
      </w:r>
      <w:r w:rsidR="004555B0" w:rsidRPr="001C4B94">
        <w:rPr>
          <w:b/>
        </w:rPr>
        <w:t>Officers:</w:t>
      </w:r>
      <w:r w:rsidR="004555B0" w:rsidRPr="001C4B94">
        <w:rPr>
          <w:b/>
        </w:rPr>
        <w:tab/>
      </w:r>
      <w:r w:rsidR="004555B0" w:rsidRPr="001C4B94">
        <w:t>Sharon Petela (Town Clerk)</w:t>
      </w:r>
    </w:p>
    <w:p w:rsidR="004555B0" w:rsidRPr="001C4B94" w:rsidRDefault="004555B0" w:rsidP="007C5D88">
      <w:r w:rsidRPr="001C4B94">
        <w:tab/>
      </w:r>
      <w:r w:rsidRPr="001C4B94">
        <w:tab/>
      </w:r>
      <w:r w:rsidRPr="001C4B94">
        <w:tab/>
      </w:r>
      <w:r w:rsidRPr="001C4B94">
        <w:tab/>
        <w:t>Rachel Pullen (RFO/Finance Manager)</w:t>
      </w:r>
    </w:p>
    <w:p w:rsidR="004555B0" w:rsidRPr="001C4B94" w:rsidRDefault="004555B0" w:rsidP="007C5D88">
      <w:r w:rsidRPr="001C4B94">
        <w:tab/>
      </w:r>
      <w:r w:rsidRPr="001C4B94">
        <w:tab/>
      </w:r>
      <w:r w:rsidRPr="001C4B94">
        <w:tab/>
      </w:r>
      <w:r w:rsidRPr="001C4B94">
        <w:tab/>
        <w:t>John Rendell (Deputy Town Clerk/Premises Manager)</w:t>
      </w:r>
    </w:p>
    <w:p w:rsidR="00E5735E" w:rsidRPr="001C4B94" w:rsidRDefault="00E5735E" w:rsidP="007C5D88">
      <w:r w:rsidRPr="001C4B94">
        <w:tab/>
      </w:r>
      <w:r w:rsidRPr="001C4B94">
        <w:tab/>
      </w:r>
      <w:r w:rsidRPr="001C4B94">
        <w:tab/>
      </w:r>
      <w:r w:rsidRPr="001C4B94">
        <w:tab/>
        <w:t xml:space="preserve">Graham Baker (Youth </w:t>
      </w:r>
      <w:r w:rsidR="00BC39AE">
        <w:t xml:space="preserve">Development &amp; </w:t>
      </w:r>
      <w:r w:rsidRPr="001C4B94">
        <w:t>Participation Worker)</w:t>
      </w:r>
    </w:p>
    <w:p w:rsidR="00441A61" w:rsidRDefault="00441A61" w:rsidP="004555B0">
      <w:pPr>
        <w:pStyle w:val="NormalWeb"/>
        <w:spacing w:before="0" w:beforeAutospacing="0" w:after="0" w:afterAutospacing="0"/>
        <w:jc w:val="both"/>
        <w:rPr>
          <w:b/>
        </w:rPr>
      </w:pPr>
    </w:p>
    <w:p w:rsidR="00441A61" w:rsidRPr="00441A61" w:rsidRDefault="00441A61" w:rsidP="004555B0">
      <w:pPr>
        <w:pStyle w:val="NormalWeb"/>
        <w:spacing w:before="0" w:beforeAutospacing="0" w:after="0" w:afterAutospacing="0"/>
        <w:jc w:val="both"/>
        <w:rPr>
          <w:b/>
        </w:rPr>
      </w:pPr>
      <w:r w:rsidRPr="00441A61">
        <w:rPr>
          <w:b/>
        </w:rPr>
        <w:t>WELCOME &amp; INTRODUCTION</w:t>
      </w:r>
    </w:p>
    <w:p w:rsidR="00441A61" w:rsidRPr="00E5735E" w:rsidRDefault="00441A61" w:rsidP="004555B0">
      <w:pPr>
        <w:pStyle w:val="NormalWeb"/>
        <w:spacing w:before="0" w:beforeAutospacing="0" w:after="0" w:afterAutospacing="0"/>
        <w:jc w:val="both"/>
        <w:rPr>
          <w:sz w:val="16"/>
          <w:szCs w:val="16"/>
        </w:rPr>
      </w:pPr>
    </w:p>
    <w:p w:rsidR="004555B0" w:rsidRDefault="004555B0" w:rsidP="00E5735E">
      <w:pPr>
        <w:pStyle w:val="NormalWeb"/>
        <w:spacing w:before="0" w:beforeAutospacing="0" w:after="0" w:afterAutospacing="0"/>
        <w:ind w:left="720"/>
        <w:jc w:val="both"/>
      </w:pPr>
      <w:r>
        <w:t xml:space="preserve">Councillor </w:t>
      </w:r>
      <w:r w:rsidR="00F9470A">
        <w:t xml:space="preserve">Ben Randles </w:t>
      </w:r>
      <w:r w:rsidR="00872FF6">
        <w:t xml:space="preserve">welcomed </w:t>
      </w:r>
      <w:r>
        <w:t>everyone to the informal meeting.</w:t>
      </w:r>
    </w:p>
    <w:p w:rsidR="004555B0" w:rsidRPr="00844AE8" w:rsidRDefault="004555B0" w:rsidP="004555B0">
      <w:pPr>
        <w:pStyle w:val="NormalWeb"/>
        <w:spacing w:before="0" w:beforeAutospacing="0" w:after="0" w:afterAutospacing="0"/>
        <w:jc w:val="both"/>
        <w:rPr>
          <w:sz w:val="16"/>
          <w:szCs w:val="16"/>
        </w:rPr>
      </w:pPr>
    </w:p>
    <w:p w:rsidR="00441A61" w:rsidRDefault="00441A61" w:rsidP="004555B0">
      <w:pPr>
        <w:pStyle w:val="NormalWeb"/>
        <w:spacing w:before="0" w:beforeAutospacing="0" w:after="0" w:afterAutospacing="0"/>
        <w:jc w:val="both"/>
      </w:pPr>
      <w:r>
        <w:tab/>
      </w:r>
      <w:r w:rsidR="004555B0" w:rsidRPr="004555B0">
        <w:t xml:space="preserve">Strategic Planning is Council's process of defining its forward strategy or direction, and </w:t>
      </w:r>
      <w:r>
        <w:tab/>
      </w:r>
      <w:r w:rsidR="004555B0" w:rsidRPr="004555B0">
        <w:t xml:space="preserve">making decisions on allocating its resources to pursue this strategy, including its capital </w:t>
      </w:r>
      <w:r>
        <w:tab/>
      </w:r>
      <w:r w:rsidR="004555B0" w:rsidRPr="004555B0">
        <w:t xml:space="preserve">and </w:t>
      </w:r>
      <w:r w:rsidRPr="004555B0">
        <w:t>people. This</w:t>
      </w:r>
      <w:r w:rsidR="004555B0" w:rsidRPr="004555B0">
        <w:t xml:space="preserve"> is a process for determining where an organisation is going over the next </w:t>
      </w:r>
      <w:r>
        <w:tab/>
      </w:r>
      <w:r w:rsidR="004555B0" w:rsidRPr="004555B0">
        <w:t xml:space="preserve">year or more typically 5 years (long term). </w:t>
      </w:r>
    </w:p>
    <w:p w:rsidR="00441A61" w:rsidRPr="00844AE8" w:rsidRDefault="00441A61" w:rsidP="004555B0">
      <w:pPr>
        <w:pStyle w:val="NormalWeb"/>
        <w:spacing w:before="0" w:beforeAutospacing="0" w:after="0" w:afterAutospacing="0"/>
        <w:jc w:val="both"/>
        <w:rPr>
          <w:sz w:val="16"/>
          <w:szCs w:val="16"/>
        </w:rPr>
      </w:pPr>
    </w:p>
    <w:p w:rsidR="004555B0" w:rsidRPr="004555B0" w:rsidRDefault="00441A61" w:rsidP="004555B0">
      <w:pPr>
        <w:pStyle w:val="NormalWeb"/>
        <w:spacing w:before="0" w:beforeAutospacing="0" w:after="0" w:afterAutospacing="0"/>
        <w:jc w:val="both"/>
      </w:pPr>
      <w:r>
        <w:tab/>
      </w:r>
      <w:r w:rsidR="004555B0" w:rsidRPr="004555B0">
        <w:t xml:space="preserve">In order to determine where it is going, council needs to know exactly where it stands, then </w:t>
      </w:r>
      <w:r>
        <w:tab/>
      </w:r>
      <w:r w:rsidR="004555B0" w:rsidRPr="004555B0">
        <w:t xml:space="preserve">determine where it wants to go and how it will get there. The results then feed directly into </w:t>
      </w:r>
    </w:p>
    <w:p w:rsidR="004555B0" w:rsidRPr="001F1272" w:rsidRDefault="00441A61" w:rsidP="004555B0">
      <w:pPr>
        <w:pStyle w:val="NormalWeb"/>
        <w:spacing w:before="0" w:beforeAutospacing="0" w:after="0" w:afterAutospacing="0"/>
        <w:ind w:left="720" w:hanging="720"/>
        <w:jc w:val="both"/>
      </w:pPr>
      <w:r w:rsidRPr="001F1272">
        <w:tab/>
      </w:r>
      <w:r w:rsidR="004555B0" w:rsidRPr="001F1272">
        <w:t>1.</w:t>
      </w:r>
      <w:r w:rsidR="004555B0" w:rsidRPr="001F1272">
        <w:tab/>
        <w:t>Future budgets: Council will be establishing the 201</w:t>
      </w:r>
      <w:r w:rsidR="00F9470A">
        <w:t>9</w:t>
      </w:r>
      <w:r w:rsidR="004555B0" w:rsidRPr="001F1272">
        <w:t>/</w:t>
      </w:r>
      <w:r w:rsidR="00F9470A">
        <w:t>20</w:t>
      </w:r>
      <w:r w:rsidR="004555B0" w:rsidRPr="001F1272">
        <w:t xml:space="preserve"> budget from October 201</w:t>
      </w:r>
      <w:r w:rsidR="00F9470A">
        <w:t>8</w:t>
      </w:r>
      <w:r w:rsidR="004555B0" w:rsidRPr="001F1272">
        <w:t xml:space="preserve"> </w:t>
      </w:r>
      <w:r w:rsidR="004555B0" w:rsidRPr="001F1272">
        <w:tab/>
        <w:t>for final approval in January 201</w:t>
      </w:r>
      <w:r w:rsidR="00F9470A">
        <w:t>9</w:t>
      </w:r>
      <w:r w:rsidR="004555B0" w:rsidRPr="001F1272">
        <w:t>.</w:t>
      </w:r>
    </w:p>
    <w:p w:rsidR="004555B0" w:rsidRPr="001F1272" w:rsidRDefault="00441A61" w:rsidP="004555B0">
      <w:pPr>
        <w:pStyle w:val="NormalWeb"/>
        <w:spacing w:before="0" w:beforeAutospacing="0" w:after="0" w:afterAutospacing="0"/>
        <w:ind w:left="720" w:hanging="720"/>
        <w:jc w:val="both"/>
      </w:pPr>
      <w:r w:rsidRPr="001F1272">
        <w:tab/>
      </w:r>
      <w:r w:rsidR="004555B0" w:rsidRPr="001F1272">
        <w:t>2.</w:t>
      </w:r>
      <w:r w:rsidR="004555B0" w:rsidRPr="001F1272">
        <w:tab/>
        <w:t>Forward Plan:</w:t>
      </w:r>
      <w:r w:rsidR="004555B0" w:rsidRPr="001F1272">
        <w:tab/>
        <w:t>Council review the updated Forward Plan in January 201</w:t>
      </w:r>
      <w:r w:rsidR="00F9470A">
        <w:t>9</w:t>
      </w:r>
      <w:r w:rsidR="004555B0" w:rsidRPr="001F1272">
        <w:t xml:space="preserve"> for final </w:t>
      </w:r>
      <w:r w:rsidRPr="001F1272">
        <w:tab/>
      </w:r>
      <w:r w:rsidR="004555B0" w:rsidRPr="001F1272">
        <w:t>approval in March 201</w:t>
      </w:r>
      <w:r w:rsidR="00F9470A">
        <w:t>9</w:t>
      </w:r>
      <w:r w:rsidR="004555B0" w:rsidRPr="001F1272">
        <w:t xml:space="preserve"> – this includes the </w:t>
      </w:r>
      <w:r w:rsidR="00050C55" w:rsidRPr="001F1272">
        <w:t>5-year</w:t>
      </w:r>
      <w:r w:rsidR="004555B0" w:rsidRPr="001F1272">
        <w:t xml:space="preserve"> rolling budget.</w:t>
      </w:r>
    </w:p>
    <w:p w:rsidR="004555B0" w:rsidRDefault="004555B0" w:rsidP="007C5D88">
      <w:pPr>
        <w:rPr>
          <w:b/>
        </w:rPr>
      </w:pPr>
    </w:p>
    <w:p w:rsidR="00441A61" w:rsidRDefault="00441A61" w:rsidP="007C5D88">
      <w:pPr>
        <w:rPr>
          <w:b/>
        </w:rPr>
      </w:pPr>
    </w:p>
    <w:p w:rsidR="00441A61" w:rsidRDefault="00441A61" w:rsidP="007C5D88">
      <w:pPr>
        <w:rPr>
          <w:b/>
        </w:rPr>
      </w:pPr>
      <w:r>
        <w:rPr>
          <w:b/>
        </w:rPr>
        <w:t>1.</w:t>
      </w:r>
      <w:r>
        <w:rPr>
          <w:b/>
        </w:rPr>
        <w:tab/>
        <w:t>APOLOGIES</w:t>
      </w:r>
    </w:p>
    <w:p w:rsidR="00441A61" w:rsidRPr="00E5735E" w:rsidRDefault="00441A61" w:rsidP="007C5D88">
      <w:pPr>
        <w:rPr>
          <w:b/>
          <w:sz w:val="16"/>
          <w:szCs w:val="16"/>
        </w:rPr>
      </w:pPr>
      <w:r>
        <w:rPr>
          <w:b/>
        </w:rPr>
        <w:tab/>
      </w:r>
    </w:p>
    <w:p w:rsidR="00441A61" w:rsidRPr="00441A61" w:rsidRDefault="00441A61" w:rsidP="00E5735E">
      <w:pPr>
        <w:ind w:left="720"/>
        <w:jc w:val="both"/>
      </w:pPr>
      <w:r w:rsidRPr="00441A61">
        <w:t>Apologies have been received from Councillor</w:t>
      </w:r>
      <w:r w:rsidR="00872FF6">
        <w:t xml:space="preserve"> </w:t>
      </w:r>
      <w:r w:rsidR="00F9470A">
        <w:t>John Ashe, Brian Hopkinson and Paul Hardwick</w:t>
      </w:r>
      <w:r w:rsidRPr="00441A61">
        <w:t>.</w:t>
      </w:r>
    </w:p>
    <w:p w:rsidR="00441A61" w:rsidRDefault="00441A61" w:rsidP="00441A61">
      <w:pPr>
        <w:jc w:val="both"/>
        <w:rPr>
          <w:b/>
        </w:rPr>
      </w:pPr>
    </w:p>
    <w:p w:rsidR="00441A61" w:rsidRDefault="00441A61" w:rsidP="00441A61">
      <w:pPr>
        <w:jc w:val="both"/>
        <w:rPr>
          <w:b/>
        </w:rPr>
      </w:pPr>
    </w:p>
    <w:p w:rsidR="00441A61" w:rsidRDefault="00441A61" w:rsidP="00441A61">
      <w:pPr>
        <w:jc w:val="both"/>
        <w:rPr>
          <w:b/>
        </w:rPr>
      </w:pPr>
      <w:r>
        <w:rPr>
          <w:b/>
        </w:rPr>
        <w:t>2.</w:t>
      </w:r>
      <w:r>
        <w:rPr>
          <w:b/>
        </w:rPr>
        <w:tab/>
        <w:t>STRATEGIC PLANNING</w:t>
      </w:r>
    </w:p>
    <w:p w:rsidR="00441A61" w:rsidRPr="001F1272" w:rsidRDefault="00441A61" w:rsidP="00441A61">
      <w:pPr>
        <w:jc w:val="both"/>
        <w:rPr>
          <w:b/>
          <w:sz w:val="16"/>
          <w:szCs w:val="16"/>
        </w:rPr>
      </w:pPr>
    </w:p>
    <w:p w:rsidR="007C5D88" w:rsidRDefault="007C5D88" w:rsidP="00441A61">
      <w:pPr>
        <w:numPr>
          <w:ilvl w:val="1"/>
          <w:numId w:val="1"/>
        </w:numPr>
        <w:tabs>
          <w:tab w:val="clear" w:pos="720"/>
          <w:tab w:val="num" w:pos="0"/>
        </w:tabs>
        <w:ind w:firstLine="0"/>
        <w:rPr>
          <w:b/>
        </w:rPr>
      </w:pPr>
      <w:r>
        <w:rPr>
          <w:b/>
        </w:rPr>
        <w:t>CURRENT POSITION</w:t>
      </w:r>
    </w:p>
    <w:p w:rsidR="00BA64B1" w:rsidRPr="00E5735E" w:rsidRDefault="00BA64B1" w:rsidP="00BA64B1">
      <w:pPr>
        <w:ind w:left="-720"/>
        <w:rPr>
          <w:b/>
          <w:sz w:val="16"/>
          <w:szCs w:val="16"/>
        </w:rPr>
      </w:pPr>
    </w:p>
    <w:p w:rsidR="00C04C6E" w:rsidRDefault="00BE3513" w:rsidP="004E6B80">
      <w:pPr>
        <w:ind w:left="1440"/>
        <w:jc w:val="both"/>
      </w:pPr>
      <w:r>
        <w:t xml:space="preserve">Councillors reviewed the draft 5 Year Budget Plan as at </w:t>
      </w:r>
      <w:r w:rsidR="001F1272">
        <w:t>08.08.1</w:t>
      </w:r>
      <w:r w:rsidR="00F9470A">
        <w:t>8</w:t>
      </w:r>
      <w:r>
        <w:t xml:space="preserve"> (see Appendix A</w:t>
      </w:r>
      <w:r w:rsidR="00C13082">
        <w:t>)</w:t>
      </w:r>
      <w:r>
        <w:t xml:space="preserve">. </w:t>
      </w:r>
    </w:p>
    <w:p w:rsidR="00C04C6E" w:rsidRPr="004644F1" w:rsidRDefault="00C04C6E" w:rsidP="004E6B80">
      <w:pPr>
        <w:ind w:left="1440"/>
        <w:jc w:val="both"/>
        <w:rPr>
          <w:sz w:val="16"/>
          <w:szCs w:val="16"/>
        </w:rPr>
      </w:pPr>
    </w:p>
    <w:p w:rsidR="00C04C6E" w:rsidRDefault="00C04C6E" w:rsidP="004E6B80">
      <w:pPr>
        <w:ind w:left="1440"/>
        <w:jc w:val="both"/>
      </w:pPr>
      <w:r>
        <w:t xml:space="preserve">The financial position of the Town Council is looking very positive for the next few years – it was noted that the office build loan repayments will end in November 2021. </w:t>
      </w:r>
    </w:p>
    <w:p w:rsidR="00C04C6E" w:rsidRPr="004644F1" w:rsidRDefault="00C04C6E" w:rsidP="004E6B80">
      <w:pPr>
        <w:ind w:left="1440"/>
        <w:jc w:val="both"/>
        <w:rPr>
          <w:sz w:val="16"/>
          <w:szCs w:val="16"/>
        </w:rPr>
      </w:pPr>
    </w:p>
    <w:p w:rsidR="00C04C6E" w:rsidRDefault="00C04C6E" w:rsidP="004E6B80">
      <w:pPr>
        <w:ind w:left="1440"/>
        <w:jc w:val="both"/>
      </w:pPr>
      <w:r>
        <w:t>Investments will be reviewed at the end of this year</w:t>
      </w:r>
      <w:r w:rsidR="004644F1">
        <w:t xml:space="preserve"> with consideration to increase the CCLA Property Fund investment subject to the Investment policy and Risk Assessment</w:t>
      </w:r>
      <w:r>
        <w:t xml:space="preserve">. </w:t>
      </w:r>
    </w:p>
    <w:p w:rsidR="00C04C6E" w:rsidRPr="004644F1" w:rsidRDefault="00C04C6E" w:rsidP="004E6B80">
      <w:pPr>
        <w:ind w:left="1440"/>
        <w:jc w:val="both"/>
        <w:rPr>
          <w:sz w:val="16"/>
          <w:szCs w:val="16"/>
        </w:rPr>
      </w:pPr>
    </w:p>
    <w:p w:rsidR="00BE3513" w:rsidRPr="00CA2D23" w:rsidRDefault="00C04C6E" w:rsidP="004E6B80">
      <w:pPr>
        <w:ind w:left="1440"/>
        <w:jc w:val="both"/>
      </w:pPr>
      <w:r>
        <w:t>It is to be noted however that any tax base changes could have an impact in the future.</w:t>
      </w:r>
      <w:r w:rsidR="004E6B80">
        <w:t xml:space="preserve"> </w:t>
      </w:r>
    </w:p>
    <w:p w:rsidR="003D4ECB" w:rsidRPr="004644F1" w:rsidRDefault="003D4ECB" w:rsidP="00322123">
      <w:pPr>
        <w:rPr>
          <w:b/>
          <w:i/>
          <w:sz w:val="16"/>
          <w:szCs w:val="16"/>
        </w:rPr>
      </w:pPr>
    </w:p>
    <w:p w:rsidR="00C04C6E" w:rsidRPr="004644F1" w:rsidRDefault="004644F1" w:rsidP="004644F1">
      <w:pPr>
        <w:ind w:left="1440"/>
        <w:jc w:val="both"/>
      </w:pPr>
      <w:r w:rsidRPr="004644F1">
        <w:t>The accounts will be restructured to separate off the day-to-day Skatepark running costs in line with the other sites. This will be within the youth budget sector.</w:t>
      </w:r>
      <w:bookmarkStart w:id="0" w:name="_GoBack"/>
      <w:bookmarkEnd w:id="0"/>
    </w:p>
    <w:p w:rsidR="001F1272" w:rsidRDefault="001F1272" w:rsidP="00322123">
      <w:pPr>
        <w:rPr>
          <w:b/>
          <w:i/>
        </w:rPr>
      </w:pPr>
    </w:p>
    <w:p w:rsidR="006B7016" w:rsidRDefault="006B7016" w:rsidP="006B7016">
      <w:pPr>
        <w:ind w:left="2160" w:hanging="1440"/>
        <w:jc w:val="both"/>
        <w:rPr>
          <w:b/>
        </w:rPr>
      </w:pPr>
      <w:r w:rsidRPr="00BA64B1">
        <w:rPr>
          <w:b/>
        </w:rPr>
        <w:t>2.2</w:t>
      </w:r>
      <w:r>
        <w:rPr>
          <w:b/>
        </w:rPr>
        <w:t xml:space="preserve"> – 2.4 FUTURE DIRECTION + ACHIEVING OBJECTIVES + BUDGET IMPACT</w:t>
      </w:r>
    </w:p>
    <w:p w:rsidR="00CA0946" w:rsidRPr="001F1272" w:rsidRDefault="00CA0946" w:rsidP="00DF6FDA">
      <w:pPr>
        <w:rPr>
          <w:sz w:val="16"/>
          <w:szCs w:val="16"/>
        </w:rPr>
      </w:pPr>
    </w:p>
    <w:p w:rsidR="00DF6FDA" w:rsidRPr="007A2AD1" w:rsidRDefault="00C04C6E" w:rsidP="007A2AD1">
      <w:pPr>
        <w:ind w:left="1440"/>
        <w:rPr>
          <w:b/>
          <w:u w:val="single"/>
        </w:rPr>
      </w:pPr>
      <w:r>
        <w:rPr>
          <w:b/>
          <w:u w:val="single"/>
        </w:rPr>
        <w:t>Hard-hitting Poster Campaign on Anti-littering</w:t>
      </w:r>
      <w:r w:rsidR="008901F8" w:rsidRPr="007A2AD1">
        <w:rPr>
          <w:b/>
          <w:u w:val="single"/>
        </w:rPr>
        <w:t xml:space="preserve"> </w:t>
      </w:r>
    </w:p>
    <w:p w:rsidR="00590EF7" w:rsidRPr="00205E41" w:rsidRDefault="00590EF7" w:rsidP="00844AE8">
      <w:pPr>
        <w:ind w:left="1440"/>
        <w:jc w:val="both"/>
        <w:rPr>
          <w:b/>
          <w:sz w:val="16"/>
          <w:szCs w:val="16"/>
          <w:u w:val="single"/>
        </w:rPr>
      </w:pPr>
    </w:p>
    <w:p w:rsidR="00397CBC" w:rsidRDefault="00C04C6E" w:rsidP="007A2AD1">
      <w:pPr>
        <w:ind w:left="1418" w:firstLine="22"/>
        <w:jc w:val="both"/>
        <w:rPr>
          <w:szCs w:val="20"/>
          <w:lang w:eastAsia="en-US"/>
        </w:rPr>
      </w:pPr>
      <w:r>
        <w:rPr>
          <w:szCs w:val="20"/>
          <w:lang w:eastAsia="en-US"/>
        </w:rPr>
        <w:t xml:space="preserve">There are a number of areas in Bradley Stoke which are increasingly suffering from large </w:t>
      </w:r>
      <w:r w:rsidR="00397CBC">
        <w:rPr>
          <w:szCs w:val="20"/>
          <w:lang w:eastAsia="en-US"/>
        </w:rPr>
        <w:t>amounts</w:t>
      </w:r>
      <w:r>
        <w:rPr>
          <w:szCs w:val="20"/>
          <w:lang w:eastAsia="en-US"/>
        </w:rPr>
        <w:t xml:space="preserve"> of litter. </w:t>
      </w:r>
      <w:r w:rsidR="00397CBC">
        <w:rPr>
          <w:szCs w:val="20"/>
          <w:lang w:eastAsia="en-US"/>
        </w:rPr>
        <w:t>This needs to be addressed to try to make residents more aware of the problem</w:t>
      </w:r>
      <w:r w:rsidR="00CC2223">
        <w:rPr>
          <w:szCs w:val="20"/>
          <w:lang w:eastAsia="en-US"/>
        </w:rPr>
        <w:t>. It has been suggested that there could be a robust poster/advertising  campaign to raise public awareness of this ongoing problem.</w:t>
      </w:r>
    </w:p>
    <w:p w:rsidR="00397CBC" w:rsidRDefault="00397CBC" w:rsidP="007A2AD1">
      <w:pPr>
        <w:ind w:left="1418" w:firstLine="22"/>
        <w:jc w:val="both"/>
        <w:rPr>
          <w:szCs w:val="20"/>
          <w:lang w:eastAsia="en-US"/>
        </w:rPr>
      </w:pPr>
    </w:p>
    <w:p w:rsidR="00397CBC" w:rsidRDefault="00397CBC" w:rsidP="00397CBC">
      <w:pPr>
        <w:pStyle w:val="ListParagraph"/>
        <w:spacing w:after="0" w:line="240" w:lineRule="auto"/>
        <w:ind w:left="1440"/>
        <w:jc w:val="both"/>
        <w:rPr>
          <w:rFonts w:ascii="Times New Roman" w:hAnsi="Times New Roman"/>
          <w:b/>
          <w:i/>
          <w:sz w:val="24"/>
          <w:szCs w:val="24"/>
        </w:rPr>
      </w:pPr>
      <w:r w:rsidRPr="00590EF7">
        <w:rPr>
          <w:rFonts w:ascii="Times New Roman" w:hAnsi="Times New Roman"/>
          <w:b/>
          <w:i/>
          <w:sz w:val="24"/>
          <w:szCs w:val="24"/>
        </w:rPr>
        <w:t xml:space="preserve">Following discussion, councillors agreed to “RECOMMEND to Full Council” that </w:t>
      </w:r>
      <w:r>
        <w:rPr>
          <w:rFonts w:ascii="Times New Roman" w:hAnsi="Times New Roman"/>
          <w:b/>
          <w:i/>
          <w:sz w:val="24"/>
          <w:szCs w:val="24"/>
        </w:rPr>
        <w:t>BSTC undertakes an anti-littering poster campaign with adverts/articles in Bradley Stoke Journal and on noticeboards around the town.</w:t>
      </w:r>
    </w:p>
    <w:p w:rsidR="00397CBC" w:rsidRDefault="00397CBC" w:rsidP="007A2AD1">
      <w:pPr>
        <w:ind w:left="1418" w:firstLine="22"/>
        <w:jc w:val="both"/>
        <w:rPr>
          <w:szCs w:val="20"/>
          <w:lang w:eastAsia="en-US"/>
        </w:rPr>
      </w:pPr>
    </w:p>
    <w:p w:rsidR="00CC2223" w:rsidRDefault="00CC2223" w:rsidP="007A2AD1">
      <w:pPr>
        <w:ind w:left="1418" w:firstLine="22"/>
        <w:jc w:val="both"/>
        <w:rPr>
          <w:szCs w:val="20"/>
          <w:lang w:eastAsia="en-US"/>
        </w:rPr>
      </w:pPr>
    </w:p>
    <w:p w:rsidR="00CC2223" w:rsidRPr="007A2AD1" w:rsidRDefault="00CC2223" w:rsidP="00CC2223">
      <w:pPr>
        <w:ind w:left="1440"/>
        <w:rPr>
          <w:b/>
          <w:u w:val="single"/>
        </w:rPr>
      </w:pPr>
      <w:r>
        <w:rPr>
          <w:b/>
          <w:u w:val="single"/>
        </w:rPr>
        <w:t>Litter Bins around Bradley Stoke</w:t>
      </w:r>
      <w:r w:rsidRPr="007A2AD1">
        <w:rPr>
          <w:b/>
          <w:u w:val="single"/>
        </w:rPr>
        <w:t xml:space="preserve"> </w:t>
      </w:r>
    </w:p>
    <w:p w:rsidR="00CC2223" w:rsidRDefault="00CC2223" w:rsidP="007A2AD1">
      <w:pPr>
        <w:ind w:left="1418" w:firstLine="22"/>
        <w:jc w:val="both"/>
        <w:rPr>
          <w:szCs w:val="20"/>
          <w:lang w:eastAsia="en-US"/>
        </w:rPr>
      </w:pPr>
    </w:p>
    <w:p w:rsidR="00397CBC" w:rsidRDefault="00397CBC" w:rsidP="007A2AD1">
      <w:pPr>
        <w:ind w:left="1418" w:firstLine="22"/>
        <w:jc w:val="both"/>
        <w:rPr>
          <w:szCs w:val="20"/>
          <w:lang w:eastAsia="en-US"/>
        </w:rPr>
      </w:pPr>
      <w:r>
        <w:rPr>
          <w:szCs w:val="20"/>
          <w:lang w:eastAsia="en-US"/>
        </w:rPr>
        <w:t>The current collection bins for litter/waste that is collected around the town by the BSTC Mobile Cleansing Operative (MCO) just about manage to cope with the amount of rubbish generated around the town. There are currently 106 bins emptied by MCO. If there is an increase in litter collection may need another collection bin to collect the waste and this will have cost implications.</w:t>
      </w:r>
    </w:p>
    <w:p w:rsidR="00397CBC" w:rsidRDefault="00397CBC" w:rsidP="007A2AD1">
      <w:pPr>
        <w:ind w:left="1418" w:firstLine="22"/>
        <w:jc w:val="both"/>
        <w:rPr>
          <w:szCs w:val="20"/>
          <w:lang w:eastAsia="en-US"/>
        </w:rPr>
      </w:pPr>
    </w:p>
    <w:p w:rsidR="00CC2223" w:rsidRDefault="00590EF7" w:rsidP="00590EF7">
      <w:pPr>
        <w:pStyle w:val="ListParagraph"/>
        <w:spacing w:after="0" w:line="240" w:lineRule="auto"/>
        <w:ind w:left="1440"/>
        <w:jc w:val="both"/>
        <w:rPr>
          <w:rFonts w:ascii="Times New Roman" w:hAnsi="Times New Roman"/>
          <w:b/>
          <w:i/>
          <w:sz w:val="24"/>
          <w:szCs w:val="24"/>
        </w:rPr>
      </w:pPr>
      <w:r w:rsidRPr="00590EF7">
        <w:rPr>
          <w:rFonts w:ascii="Times New Roman" w:hAnsi="Times New Roman"/>
          <w:b/>
          <w:i/>
          <w:sz w:val="24"/>
          <w:szCs w:val="24"/>
        </w:rPr>
        <w:t xml:space="preserve">Following discussion, councillors agreed to “RECOMMEND to Full Council” that </w:t>
      </w:r>
      <w:r w:rsidR="000D7B8A">
        <w:rPr>
          <w:rFonts w:ascii="Times New Roman" w:hAnsi="Times New Roman"/>
          <w:b/>
          <w:i/>
          <w:sz w:val="24"/>
          <w:szCs w:val="24"/>
        </w:rPr>
        <w:t xml:space="preserve">BSTC </w:t>
      </w:r>
      <w:r w:rsidR="00CC2223">
        <w:rPr>
          <w:rFonts w:ascii="Times New Roman" w:hAnsi="Times New Roman"/>
          <w:b/>
          <w:i/>
          <w:sz w:val="24"/>
          <w:szCs w:val="24"/>
        </w:rPr>
        <w:t>reviews the strategic direction of waste bins across the town with a view to trialling recycling bins in various locations (including the skatepark)</w:t>
      </w:r>
    </w:p>
    <w:p w:rsidR="00CC2223" w:rsidRDefault="00CC2223" w:rsidP="00590EF7">
      <w:pPr>
        <w:pStyle w:val="ListParagraph"/>
        <w:spacing w:after="0" w:line="240" w:lineRule="auto"/>
        <w:ind w:left="1440"/>
        <w:jc w:val="both"/>
        <w:rPr>
          <w:rFonts w:ascii="Times New Roman" w:hAnsi="Times New Roman"/>
          <w:b/>
          <w:i/>
          <w:sz w:val="24"/>
          <w:szCs w:val="24"/>
        </w:rPr>
      </w:pPr>
    </w:p>
    <w:p w:rsidR="00626ACC" w:rsidRDefault="00626ACC" w:rsidP="00DF6FDA"/>
    <w:p w:rsidR="000621E3" w:rsidRPr="000621E3" w:rsidRDefault="000621E3" w:rsidP="000621E3">
      <w:pPr>
        <w:ind w:left="1985" w:hanging="567"/>
        <w:jc w:val="both"/>
        <w:rPr>
          <w:b/>
          <w:u w:val="single"/>
        </w:rPr>
      </w:pPr>
      <w:r w:rsidRPr="000621E3">
        <w:rPr>
          <w:b/>
          <w:u w:val="single"/>
        </w:rPr>
        <w:t>Review of current levels of Youth budgets: background information.</w:t>
      </w:r>
    </w:p>
    <w:p w:rsidR="000621E3" w:rsidRPr="000621E3" w:rsidRDefault="000621E3" w:rsidP="000621E3">
      <w:pPr>
        <w:ind w:left="1985" w:hanging="567"/>
        <w:jc w:val="both"/>
        <w:rPr>
          <w:b/>
          <w:sz w:val="16"/>
          <w:szCs w:val="16"/>
          <w:u w:val="single"/>
        </w:rPr>
      </w:pPr>
    </w:p>
    <w:p w:rsidR="000621E3" w:rsidRPr="000621E3" w:rsidRDefault="000621E3" w:rsidP="000621E3">
      <w:pPr>
        <w:pStyle w:val="ListParagraph"/>
        <w:numPr>
          <w:ilvl w:val="0"/>
          <w:numId w:val="21"/>
        </w:numPr>
        <w:spacing w:after="0" w:line="240" w:lineRule="auto"/>
        <w:ind w:left="1985" w:hanging="567"/>
        <w:jc w:val="both"/>
        <w:rPr>
          <w:rFonts w:ascii="Times New Roman" w:hAnsi="Times New Roman"/>
          <w:sz w:val="24"/>
          <w:szCs w:val="24"/>
        </w:rPr>
      </w:pPr>
      <w:r w:rsidRPr="000621E3">
        <w:rPr>
          <w:rFonts w:ascii="Times New Roman" w:hAnsi="Times New Roman"/>
          <w:sz w:val="24"/>
          <w:szCs w:val="24"/>
        </w:rPr>
        <w:t xml:space="preserve">As stated at last year’s Strategic Planning meeting, since 2013 BSTC has been very successful in attracting a range of both </w:t>
      </w:r>
      <w:r w:rsidRPr="000621E3">
        <w:rPr>
          <w:rFonts w:ascii="Times New Roman" w:hAnsi="Times New Roman"/>
          <w:b/>
          <w:sz w:val="24"/>
          <w:szCs w:val="24"/>
        </w:rPr>
        <w:t>external capital funding,</w:t>
      </w:r>
      <w:r w:rsidRPr="000621E3">
        <w:rPr>
          <w:rFonts w:ascii="Times New Roman" w:hAnsi="Times New Roman"/>
          <w:sz w:val="24"/>
          <w:szCs w:val="24"/>
        </w:rPr>
        <w:t xml:space="preserve"> for infrastructure projects, and </w:t>
      </w:r>
      <w:r w:rsidRPr="000621E3">
        <w:rPr>
          <w:rFonts w:ascii="Times New Roman" w:hAnsi="Times New Roman"/>
          <w:b/>
          <w:sz w:val="24"/>
          <w:szCs w:val="24"/>
        </w:rPr>
        <w:t>external</w:t>
      </w:r>
      <w:r w:rsidRPr="000621E3">
        <w:rPr>
          <w:rFonts w:ascii="Times New Roman" w:hAnsi="Times New Roman"/>
          <w:sz w:val="24"/>
          <w:szCs w:val="24"/>
        </w:rPr>
        <w:t xml:space="preserve"> </w:t>
      </w:r>
      <w:r w:rsidRPr="000621E3">
        <w:rPr>
          <w:rFonts w:ascii="Times New Roman" w:hAnsi="Times New Roman"/>
          <w:b/>
          <w:sz w:val="24"/>
          <w:szCs w:val="24"/>
        </w:rPr>
        <w:t>revenue funding,</w:t>
      </w:r>
      <w:r w:rsidRPr="000621E3">
        <w:rPr>
          <w:rFonts w:ascii="Times New Roman" w:hAnsi="Times New Roman"/>
          <w:sz w:val="24"/>
          <w:szCs w:val="24"/>
        </w:rPr>
        <w:t xml:space="preserve"> for Youth Work programmes and projects.</w:t>
      </w:r>
    </w:p>
    <w:p w:rsidR="000621E3" w:rsidRPr="000621E3" w:rsidRDefault="000621E3" w:rsidP="000621E3">
      <w:pPr>
        <w:pStyle w:val="ListParagraph"/>
        <w:numPr>
          <w:ilvl w:val="0"/>
          <w:numId w:val="21"/>
        </w:numPr>
        <w:spacing w:after="0" w:line="240" w:lineRule="auto"/>
        <w:ind w:left="1985" w:hanging="567"/>
        <w:jc w:val="both"/>
        <w:rPr>
          <w:rFonts w:ascii="Times New Roman" w:hAnsi="Times New Roman"/>
          <w:sz w:val="24"/>
          <w:szCs w:val="24"/>
        </w:rPr>
      </w:pPr>
      <w:r w:rsidRPr="000621E3">
        <w:rPr>
          <w:rFonts w:ascii="Times New Roman" w:hAnsi="Times New Roman"/>
          <w:sz w:val="24"/>
          <w:szCs w:val="24"/>
        </w:rPr>
        <w:t>A key factor in attracting external funding has been the ongoing commitment of Bradley Stoke Town Council to funding Youth Work with children and young people.</w:t>
      </w:r>
    </w:p>
    <w:p w:rsidR="000621E3" w:rsidRPr="000621E3" w:rsidRDefault="000621E3" w:rsidP="000621E3">
      <w:pPr>
        <w:pStyle w:val="ListParagraph"/>
        <w:numPr>
          <w:ilvl w:val="0"/>
          <w:numId w:val="21"/>
        </w:numPr>
        <w:spacing w:after="0" w:line="240" w:lineRule="auto"/>
        <w:ind w:left="1985" w:hanging="567"/>
        <w:jc w:val="both"/>
        <w:rPr>
          <w:rFonts w:ascii="Times New Roman" w:hAnsi="Times New Roman"/>
          <w:sz w:val="24"/>
          <w:szCs w:val="24"/>
        </w:rPr>
      </w:pPr>
      <w:r w:rsidRPr="000621E3">
        <w:rPr>
          <w:rFonts w:ascii="Times New Roman" w:hAnsi="Times New Roman"/>
          <w:sz w:val="24"/>
          <w:szCs w:val="24"/>
        </w:rPr>
        <w:t xml:space="preserve">BSTC’s continued commitment will hopefully help attract </w:t>
      </w:r>
      <w:r w:rsidRPr="000621E3">
        <w:rPr>
          <w:rFonts w:ascii="Times New Roman" w:hAnsi="Times New Roman"/>
          <w:b/>
          <w:sz w:val="24"/>
          <w:szCs w:val="24"/>
        </w:rPr>
        <w:t>an additional £30K,</w:t>
      </w:r>
      <w:r w:rsidRPr="000621E3">
        <w:rPr>
          <w:rFonts w:ascii="Times New Roman" w:hAnsi="Times New Roman"/>
          <w:sz w:val="24"/>
          <w:szCs w:val="24"/>
        </w:rPr>
        <w:t xml:space="preserve"> over the next three years, through the SGC New Youth Activities Offer. Importantly, SGC strongly support, in their commissioning process, the value added role of Town and Parish Councils, like BSTC, in demonstrating a commitment to Youth Work and SGC want to build on such arrangements.</w:t>
      </w:r>
    </w:p>
    <w:p w:rsidR="000621E3" w:rsidRPr="000621E3" w:rsidRDefault="000621E3" w:rsidP="000621E3">
      <w:pPr>
        <w:pStyle w:val="ListParagraph"/>
        <w:numPr>
          <w:ilvl w:val="0"/>
          <w:numId w:val="21"/>
        </w:numPr>
        <w:spacing w:after="0" w:line="240" w:lineRule="auto"/>
        <w:ind w:left="1985" w:hanging="567"/>
        <w:jc w:val="both"/>
        <w:rPr>
          <w:rFonts w:ascii="Times New Roman" w:hAnsi="Times New Roman"/>
          <w:sz w:val="24"/>
          <w:szCs w:val="24"/>
        </w:rPr>
      </w:pPr>
      <w:r w:rsidRPr="000621E3">
        <w:rPr>
          <w:rFonts w:ascii="Times New Roman" w:hAnsi="Times New Roman"/>
          <w:sz w:val="24"/>
          <w:szCs w:val="24"/>
        </w:rPr>
        <w:t xml:space="preserve">External fundraising has so far included approximately </w:t>
      </w:r>
      <w:r w:rsidRPr="000621E3">
        <w:rPr>
          <w:rFonts w:ascii="Times New Roman" w:hAnsi="Times New Roman"/>
          <w:b/>
          <w:sz w:val="24"/>
          <w:szCs w:val="24"/>
        </w:rPr>
        <w:t>£200K</w:t>
      </w:r>
      <w:r w:rsidRPr="000621E3">
        <w:rPr>
          <w:rFonts w:ascii="Times New Roman" w:hAnsi="Times New Roman"/>
          <w:sz w:val="24"/>
          <w:szCs w:val="24"/>
        </w:rPr>
        <w:t xml:space="preserve"> of capital monies and approximately </w:t>
      </w:r>
      <w:r w:rsidRPr="000621E3">
        <w:rPr>
          <w:rFonts w:ascii="Times New Roman" w:hAnsi="Times New Roman"/>
          <w:b/>
          <w:sz w:val="24"/>
          <w:szCs w:val="24"/>
        </w:rPr>
        <w:t>£100K</w:t>
      </w:r>
      <w:r w:rsidRPr="000621E3">
        <w:rPr>
          <w:rFonts w:ascii="Times New Roman" w:hAnsi="Times New Roman"/>
          <w:sz w:val="24"/>
          <w:szCs w:val="24"/>
        </w:rPr>
        <w:t xml:space="preserve"> of revenue and project funding, plus further additional significant in-kind and sponsorship support, including volunteering time and donations (e.g. ‘</w:t>
      </w:r>
      <w:proofErr w:type="spellStart"/>
      <w:r w:rsidRPr="000621E3">
        <w:rPr>
          <w:rFonts w:ascii="Times New Roman" w:hAnsi="Times New Roman"/>
          <w:sz w:val="24"/>
          <w:szCs w:val="24"/>
        </w:rPr>
        <w:t>foodshare</w:t>
      </w:r>
      <w:proofErr w:type="spellEnd"/>
      <w:r w:rsidRPr="000621E3">
        <w:rPr>
          <w:rFonts w:ascii="Times New Roman" w:hAnsi="Times New Roman"/>
          <w:sz w:val="24"/>
          <w:szCs w:val="24"/>
        </w:rPr>
        <w:t>’, skate comp prizes, materials, discounts).</w:t>
      </w:r>
    </w:p>
    <w:p w:rsidR="000621E3" w:rsidRDefault="000621E3" w:rsidP="00205E41">
      <w:pPr>
        <w:ind w:left="1418"/>
        <w:jc w:val="both"/>
        <w:rPr>
          <w:rFonts w:eastAsiaTheme="minorHAnsi"/>
          <w:lang w:eastAsia="en-US"/>
        </w:rPr>
      </w:pPr>
    </w:p>
    <w:p w:rsidR="000621E3" w:rsidRDefault="000621E3" w:rsidP="00205E41">
      <w:pPr>
        <w:ind w:left="1418"/>
        <w:jc w:val="both"/>
        <w:rPr>
          <w:rFonts w:eastAsiaTheme="minorHAnsi"/>
          <w:lang w:eastAsia="en-US"/>
        </w:rPr>
      </w:pPr>
      <w:r>
        <w:rPr>
          <w:rFonts w:eastAsiaTheme="minorHAnsi"/>
          <w:lang w:eastAsia="en-US"/>
        </w:rPr>
        <w:t xml:space="preserve">It was noted that there was rather a misleading article in the most recent edition of Bradley Stoke </w:t>
      </w:r>
      <w:r w:rsidR="00A543C5">
        <w:rPr>
          <w:rFonts w:eastAsiaTheme="minorHAnsi"/>
          <w:lang w:eastAsia="en-US"/>
        </w:rPr>
        <w:t>J</w:t>
      </w:r>
      <w:r>
        <w:rPr>
          <w:rFonts w:eastAsiaTheme="minorHAnsi"/>
          <w:lang w:eastAsia="en-US"/>
        </w:rPr>
        <w:t>ournal relating to an “overspend” on the skatepark building project – this is inaccurate as no overall budget was set, rather a variety of projects in development, being a phased development/work in progress. Finance Manager/RFO and Youth Development &amp; Participation Worker to draft a formal update/review of project to date.</w:t>
      </w:r>
    </w:p>
    <w:p w:rsidR="000621E3" w:rsidRDefault="000621E3" w:rsidP="00205E41">
      <w:pPr>
        <w:ind w:left="1418"/>
        <w:jc w:val="both"/>
        <w:rPr>
          <w:rFonts w:eastAsiaTheme="minorHAnsi"/>
          <w:lang w:eastAsia="en-US"/>
        </w:rPr>
      </w:pPr>
    </w:p>
    <w:p w:rsidR="000621E3" w:rsidRDefault="000621E3" w:rsidP="00205E41">
      <w:pPr>
        <w:ind w:left="1418"/>
        <w:jc w:val="both"/>
        <w:rPr>
          <w:rFonts w:eastAsiaTheme="minorHAnsi"/>
          <w:lang w:eastAsia="en-US"/>
        </w:rPr>
      </w:pPr>
    </w:p>
    <w:p w:rsidR="000621E3" w:rsidRDefault="000621E3" w:rsidP="000621E3">
      <w:pPr>
        <w:ind w:left="1418"/>
        <w:jc w:val="both"/>
      </w:pPr>
      <w:r>
        <w:rPr>
          <w:b/>
          <w:u w:val="single"/>
        </w:rPr>
        <w:t xml:space="preserve">Next stage skatepark development: </w:t>
      </w:r>
      <w:r w:rsidR="00921ED3">
        <w:rPr>
          <w:b/>
          <w:u w:val="single"/>
        </w:rPr>
        <w:t>including</w:t>
      </w:r>
      <w:r>
        <w:rPr>
          <w:b/>
          <w:u w:val="single"/>
        </w:rPr>
        <w:t xml:space="preserve"> DDA accessible surface and access ramp outside container; equipping interior of containers; completion of landscaping; project tools &amp; equipment</w:t>
      </w:r>
      <w:r w:rsidRPr="000621E3">
        <w:t xml:space="preserve"> </w:t>
      </w:r>
    </w:p>
    <w:p w:rsidR="000621E3" w:rsidRDefault="000621E3" w:rsidP="000621E3">
      <w:pPr>
        <w:ind w:left="720" w:firstLine="698"/>
        <w:jc w:val="both"/>
      </w:pPr>
    </w:p>
    <w:p w:rsidR="000621E3" w:rsidRDefault="000621E3" w:rsidP="000621E3">
      <w:pPr>
        <w:ind w:left="1418"/>
        <w:jc w:val="both"/>
      </w:pPr>
      <w:r w:rsidRPr="000621E3">
        <w:t xml:space="preserve">Since the last Strategic Planning meeting, there has been the ultimately successful installation of a new youth building on the skate park site. The development has taken slightly longer than anticipated, mainly due to some manufacturing challenges leading to timescale slippage.  However, the building is now in situ and has been received very positively by young people and wider members of the local community. We are now at the stage where we need to furnish and equip the interior of the building to create three distinct interior Youth Work spaces. These are a kitchen, food prep, healthy lifestyle area; a space for various project work including, arts &amp; crafts, scooter &amp; BMX maintenance and a more informal social/ music space. In addition, we need to make the area immediately outside the new build DDA compliant by providing an accessible </w:t>
      </w:r>
    </w:p>
    <w:p w:rsidR="000621E3" w:rsidRPr="000621E3" w:rsidRDefault="000621E3" w:rsidP="000621E3">
      <w:pPr>
        <w:ind w:left="1418"/>
        <w:jc w:val="both"/>
      </w:pPr>
      <w:r w:rsidRPr="000621E3">
        <w:t>surface, including access ramp/s.</w:t>
      </w:r>
    </w:p>
    <w:p w:rsidR="000621E3" w:rsidRDefault="000621E3" w:rsidP="000621E3">
      <w:pPr>
        <w:ind w:left="360"/>
        <w:jc w:val="both"/>
        <w:rPr>
          <w:b/>
          <w:u w:val="single"/>
        </w:rPr>
      </w:pPr>
    </w:p>
    <w:p w:rsidR="00921ED3" w:rsidRDefault="009714A3" w:rsidP="0059592E">
      <w:pPr>
        <w:ind w:left="1440" w:hanging="1440"/>
        <w:jc w:val="both"/>
        <w:rPr>
          <w:b/>
          <w:i/>
        </w:rPr>
      </w:pPr>
      <w:r w:rsidRPr="00205702">
        <w:rPr>
          <w:b/>
          <w:i/>
        </w:rPr>
        <w:tab/>
      </w:r>
      <w:r w:rsidR="0059592E" w:rsidRPr="00205702">
        <w:rPr>
          <w:b/>
          <w:i/>
        </w:rPr>
        <w:t xml:space="preserve">Following discussion, councillors agreed to “RECOMMEND to Full Council” </w:t>
      </w:r>
      <w:r w:rsidR="00904480" w:rsidRPr="00205702">
        <w:rPr>
          <w:b/>
          <w:i/>
        </w:rPr>
        <w:t xml:space="preserve">that </w:t>
      </w:r>
      <w:r w:rsidR="00474EBD">
        <w:rPr>
          <w:b/>
          <w:i/>
        </w:rPr>
        <w:t xml:space="preserve">BSTC </w:t>
      </w:r>
      <w:r w:rsidR="00921ED3">
        <w:rPr>
          <w:b/>
          <w:i/>
        </w:rPr>
        <w:t>obtain costings and approval for internal fittings and equipment for new youth building at the skatepark and a DDA accessible external surface for the area immediately outside the new building</w:t>
      </w:r>
    </w:p>
    <w:p w:rsidR="00921ED3" w:rsidRDefault="00921ED3" w:rsidP="0059592E">
      <w:pPr>
        <w:ind w:left="1440" w:hanging="1440"/>
        <w:jc w:val="both"/>
        <w:rPr>
          <w:b/>
          <w:i/>
        </w:rPr>
      </w:pPr>
    </w:p>
    <w:p w:rsidR="00921ED3" w:rsidRDefault="00921ED3" w:rsidP="0059592E">
      <w:pPr>
        <w:ind w:left="1440" w:hanging="1440"/>
        <w:jc w:val="both"/>
        <w:rPr>
          <w:b/>
          <w:i/>
        </w:rPr>
      </w:pPr>
    </w:p>
    <w:p w:rsidR="00921ED3" w:rsidRDefault="00921ED3" w:rsidP="00921ED3">
      <w:pPr>
        <w:ind w:left="720" w:firstLine="720"/>
        <w:rPr>
          <w:b/>
          <w:u w:val="single"/>
        </w:rPr>
      </w:pPr>
      <w:r w:rsidRPr="00921ED3">
        <w:rPr>
          <w:b/>
          <w:u w:val="single"/>
        </w:rPr>
        <w:t>Youth staffing</w:t>
      </w:r>
    </w:p>
    <w:p w:rsidR="00921ED3" w:rsidRDefault="00921ED3" w:rsidP="00921ED3">
      <w:pPr>
        <w:ind w:left="720" w:firstLine="720"/>
        <w:jc w:val="both"/>
      </w:pPr>
    </w:p>
    <w:p w:rsidR="00921ED3" w:rsidRPr="00921ED3" w:rsidRDefault="00921ED3" w:rsidP="00921ED3">
      <w:pPr>
        <w:ind w:left="1440"/>
        <w:jc w:val="both"/>
      </w:pPr>
      <w:r w:rsidRPr="00921ED3">
        <w:t xml:space="preserve">Unfortunately there has been a delay in recruiting additional staff, mainly due to the longer than anticipated timescale for the new building. However, we are now in a position to recruit additional staff, in line with previous council approval and to fully utilise the new facilities and deliver on the various aspects of BSTCs current 5-year plan. </w:t>
      </w:r>
    </w:p>
    <w:p w:rsidR="00921ED3" w:rsidRDefault="00921ED3" w:rsidP="00921ED3">
      <w:pPr>
        <w:ind w:left="360"/>
        <w:jc w:val="both"/>
        <w:rPr>
          <w:b/>
          <w:u w:val="single"/>
        </w:rPr>
      </w:pPr>
    </w:p>
    <w:p w:rsidR="00921ED3" w:rsidRPr="00921ED3" w:rsidRDefault="00921ED3" w:rsidP="00921ED3">
      <w:pPr>
        <w:ind w:left="1440"/>
        <w:jc w:val="both"/>
      </w:pPr>
      <w:r w:rsidRPr="00921ED3">
        <w:rPr>
          <w:b/>
        </w:rPr>
        <w:t>NB:</w:t>
      </w:r>
      <w:r w:rsidRPr="00921ED3">
        <w:t xml:space="preserve"> Although we will hopefully draw down some additional external revenue funding from SGC, it is important to note that the current budgetary constraints on SGC grants and other funding bodies, means that it is/will be increasingly difficult to source significant external funding. </w:t>
      </w:r>
    </w:p>
    <w:p w:rsidR="00921ED3" w:rsidRPr="00921ED3" w:rsidRDefault="00921ED3" w:rsidP="00921ED3">
      <w:pPr>
        <w:ind w:left="360"/>
        <w:jc w:val="both"/>
      </w:pPr>
    </w:p>
    <w:p w:rsidR="00921ED3" w:rsidRPr="00921ED3" w:rsidRDefault="00921ED3" w:rsidP="00921ED3">
      <w:pPr>
        <w:ind w:left="1440"/>
        <w:jc w:val="both"/>
      </w:pPr>
      <w:r w:rsidRPr="00921ED3">
        <w:t>Therefore, the projected necessary staffing and project costs will require both the current projected core Youth budget and some potential annual draw down from Youth reserves, plus whatever external funding we can attract.</w:t>
      </w:r>
    </w:p>
    <w:p w:rsidR="00921ED3" w:rsidRPr="000F7F1E" w:rsidRDefault="00921ED3" w:rsidP="00921ED3">
      <w:pPr>
        <w:ind w:left="1440" w:hanging="1440"/>
        <w:jc w:val="both"/>
        <w:rPr>
          <w:rFonts w:ascii="Comic Sans MS" w:hAnsi="Comic Sans MS"/>
          <w:b/>
          <w:i/>
          <w:sz w:val="16"/>
          <w:szCs w:val="16"/>
        </w:rPr>
      </w:pPr>
    </w:p>
    <w:p w:rsidR="00921ED3" w:rsidRDefault="00921ED3" w:rsidP="00921ED3">
      <w:pPr>
        <w:ind w:left="1440" w:hanging="1440"/>
        <w:jc w:val="both"/>
        <w:rPr>
          <w:b/>
          <w:i/>
        </w:rPr>
      </w:pPr>
      <w:r>
        <w:tab/>
      </w:r>
      <w:r w:rsidRPr="00205702">
        <w:rPr>
          <w:b/>
          <w:i/>
        </w:rPr>
        <w:t xml:space="preserve">Following discussion, councillors agreed to “RECOMMEND to Full Council” </w:t>
      </w:r>
      <w:r>
        <w:rPr>
          <w:b/>
          <w:i/>
        </w:rPr>
        <w:t>protection of current unallocated youth reserves (N/C 3079) to be reviewed at 2019 Strategic Planning meeting and for any unspent Youth Budgets (N/C 5499 and N/C 5500) at 2018/19 year end to be transferred over to unallocated youth reserve (N/C 3079) to fund the developing youth provision</w:t>
      </w:r>
    </w:p>
    <w:p w:rsidR="00205702" w:rsidRPr="00921ED3" w:rsidRDefault="00205702" w:rsidP="0059592E">
      <w:pPr>
        <w:ind w:left="1440" w:hanging="1440"/>
        <w:jc w:val="both"/>
      </w:pPr>
    </w:p>
    <w:p w:rsidR="00BF2FA6" w:rsidRDefault="0059592E" w:rsidP="003F4142">
      <w:r w:rsidRPr="00A045F4">
        <w:tab/>
      </w:r>
      <w:r w:rsidRPr="00A045F4">
        <w:tab/>
      </w:r>
    </w:p>
    <w:p w:rsidR="00626ACC" w:rsidRPr="001E1553" w:rsidRDefault="00050C55" w:rsidP="009B7BF4">
      <w:pPr>
        <w:ind w:left="1440"/>
        <w:jc w:val="both"/>
        <w:rPr>
          <w:b/>
          <w:u w:val="single"/>
        </w:rPr>
      </w:pPr>
      <w:r>
        <w:rPr>
          <w:b/>
          <w:u w:val="single"/>
        </w:rPr>
        <w:t>Installation of a M</w:t>
      </w:r>
      <w:r w:rsidR="009B7BF4">
        <w:rPr>
          <w:b/>
          <w:u w:val="single"/>
        </w:rPr>
        <w:t>ulti-Use Games Area (MUGA) to progress in tandem with leisure equipment for Jubilee Green</w:t>
      </w:r>
    </w:p>
    <w:p w:rsidR="00626ACC" w:rsidRPr="004A1B82" w:rsidRDefault="00626ACC" w:rsidP="00626ACC">
      <w:pPr>
        <w:rPr>
          <w:sz w:val="16"/>
          <w:szCs w:val="16"/>
        </w:rPr>
      </w:pPr>
    </w:p>
    <w:p w:rsidR="009B7BF4" w:rsidRDefault="009B7BF4" w:rsidP="003F4142">
      <w:pPr>
        <w:ind w:left="1440"/>
        <w:jc w:val="both"/>
        <w:rPr>
          <w:rFonts w:eastAsia="Calibri"/>
          <w:lang w:eastAsia="en-US"/>
        </w:rPr>
      </w:pPr>
      <w:r>
        <w:rPr>
          <w:rFonts w:eastAsia="Calibri"/>
          <w:lang w:eastAsia="en-US"/>
        </w:rPr>
        <w:t>There is currently £5,000 allocated in Strategic Planning projects (N/C 3022) which was agreed December 2017 – this will be able to be used hopefully to “pump-prime” external funding.</w:t>
      </w:r>
    </w:p>
    <w:p w:rsidR="00C46F9B" w:rsidRPr="00C46F9B" w:rsidRDefault="009B7BF4" w:rsidP="00C46F9B">
      <w:pPr>
        <w:ind w:left="1440"/>
        <w:jc w:val="both"/>
        <w:rPr>
          <w:b/>
          <w:i/>
        </w:rPr>
      </w:pPr>
      <w:r>
        <w:rPr>
          <w:b/>
          <w:i/>
        </w:rPr>
        <w:lastRenderedPageBreak/>
        <w:t>F</w:t>
      </w:r>
      <w:r w:rsidR="00587E18" w:rsidRPr="001E1553">
        <w:rPr>
          <w:b/>
          <w:i/>
        </w:rPr>
        <w:t xml:space="preserve">ollowing discussion, councillors agreed to “RECOMMEND to Full Council” that </w:t>
      </w:r>
      <w:r>
        <w:rPr>
          <w:b/>
          <w:i/>
        </w:rPr>
        <w:t>BSTC continues to progress the installation of a MUGA in tandem with the installation of leisure equipment on the Jubilee Green</w:t>
      </w:r>
      <w:r w:rsidR="00C46F9B" w:rsidRPr="00C46F9B">
        <w:rPr>
          <w:b/>
          <w:i/>
        </w:rPr>
        <w:t xml:space="preserve"> </w:t>
      </w:r>
    </w:p>
    <w:p w:rsidR="000B26FC" w:rsidRPr="00127595" w:rsidRDefault="000B26FC" w:rsidP="00587E18">
      <w:pPr>
        <w:ind w:left="1440"/>
        <w:jc w:val="both"/>
        <w:rPr>
          <w:b/>
          <w:i/>
          <w:sz w:val="16"/>
          <w:szCs w:val="16"/>
        </w:rPr>
      </w:pPr>
    </w:p>
    <w:p w:rsidR="000B26FC" w:rsidRDefault="000B26FC" w:rsidP="00587E18">
      <w:pPr>
        <w:ind w:left="1440"/>
        <w:jc w:val="both"/>
        <w:rPr>
          <w:b/>
          <w:i/>
        </w:rPr>
      </w:pPr>
    </w:p>
    <w:p w:rsidR="00162885" w:rsidRDefault="008F44D8" w:rsidP="00463F4C">
      <w:pPr>
        <w:ind w:left="1440"/>
        <w:jc w:val="both"/>
        <w:rPr>
          <w:b/>
          <w:u w:val="single"/>
        </w:rPr>
      </w:pPr>
      <w:bookmarkStart w:id="1" w:name="_Hlk492974229"/>
      <w:r>
        <w:rPr>
          <w:b/>
          <w:u w:val="single"/>
        </w:rPr>
        <w:t>Community Festival 2020 and 2021</w:t>
      </w:r>
      <w:bookmarkStart w:id="2" w:name="_Hlk492974199"/>
    </w:p>
    <w:bookmarkEnd w:id="2"/>
    <w:bookmarkEnd w:id="1"/>
    <w:p w:rsidR="00DF320D" w:rsidRPr="00BF2FA6" w:rsidRDefault="00DF320D" w:rsidP="00463F4C">
      <w:pPr>
        <w:ind w:left="1440"/>
        <w:jc w:val="both"/>
        <w:rPr>
          <w:sz w:val="16"/>
          <w:szCs w:val="16"/>
        </w:rPr>
      </w:pPr>
    </w:p>
    <w:p w:rsidR="008F44D8" w:rsidRPr="000D039F" w:rsidRDefault="008F44D8" w:rsidP="008F44D8">
      <w:pPr>
        <w:ind w:left="1418"/>
        <w:jc w:val="both"/>
      </w:pPr>
      <w:r w:rsidRPr="000D039F">
        <w:t xml:space="preserve">Re-Energize have </w:t>
      </w:r>
      <w:r>
        <w:t xml:space="preserve">successfully </w:t>
      </w:r>
      <w:r w:rsidRPr="000D039F">
        <w:t xml:space="preserve">organised the Community </w:t>
      </w:r>
      <w:r>
        <w:t>F</w:t>
      </w:r>
      <w:r w:rsidRPr="000D039F">
        <w:t>estival since 2009 and have been appointed to run the 2019 Festival.</w:t>
      </w:r>
    </w:p>
    <w:p w:rsidR="008F44D8" w:rsidRPr="000D039F" w:rsidRDefault="008F44D8" w:rsidP="008F44D8">
      <w:pPr>
        <w:ind w:left="1418"/>
        <w:jc w:val="both"/>
      </w:pPr>
    </w:p>
    <w:p w:rsidR="008F44D8" w:rsidRPr="000D039F" w:rsidRDefault="008F44D8" w:rsidP="008F44D8">
      <w:pPr>
        <w:ind w:left="1418"/>
        <w:jc w:val="both"/>
      </w:pPr>
      <w:r w:rsidRPr="000D039F">
        <w:t>Over the past few years, BSTC has been out to the marketplace on a number of occasions to invite companies to tender for the Community Festival with only one company (Re-Energize) responding to the invitation</w:t>
      </w:r>
      <w:r>
        <w:t xml:space="preserve"> each time</w:t>
      </w:r>
      <w:r w:rsidRPr="000D039F">
        <w:t>. This limited response is thought to be due to the very low profit margin which is not attractive to a new company coming in.</w:t>
      </w:r>
    </w:p>
    <w:p w:rsidR="008F44D8" w:rsidRPr="000D039F" w:rsidRDefault="008F44D8" w:rsidP="008F44D8">
      <w:pPr>
        <w:ind w:left="1418"/>
        <w:jc w:val="both"/>
      </w:pPr>
    </w:p>
    <w:p w:rsidR="008F44D8" w:rsidRDefault="008F44D8" w:rsidP="008F44D8">
      <w:pPr>
        <w:ind w:left="1418"/>
        <w:jc w:val="both"/>
      </w:pPr>
      <w:r>
        <w:t>The Re-Energize budget for 2013 was £24,000 which was reduced to £21,000 in 2014 and has remained at this level since then (apart from a one-off increase for 2017 which was for the 25</w:t>
      </w:r>
      <w:r w:rsidRPr="00946615">
        <w:rPr>
          <w:vertAlign w:val="superscript"/>
        </w:rPr>
        <w:t>th</w:t>
      </w:r>
      <w:r>
        <w:t xml:space="preserve"> Anniversary event). </w:t>
      </w:r>
    </w:p>
    <w:p w:rsidR="008F44D8" w:rsidRDefault="008F44D8" w:rsidP="008F44D8">
      <w:pPr>
        <w:ind w:left="1418"/>
        <w:jc w:val="both"/>
      </w:pPr>
    </w:p>
    <w:p w:rsidR="008F44D8" w:rsidRDefault="008F44D8" w:rsidP="008F44D8">
      <w:pPr>
        <w:ind w:left="1418"/>
        <w:jc w:val="both"/>
      </w:pPr>
      <w:r>
        <w:t>The Community Zone free rides and other community elements of the Festival have been financed through Community Development Grant Aid of £4,000 for the past couple of years and this is set to continue for 2019 (with the Town Clerk &amp; Chair of Leisure, Youth &amp; Amenities Committee approving the £4,000 expenditure).</w:t>
      </w:r>
    </w:p>
    <w:p w:rsidR="008F44D8" w:rsidRDefault="008F44D8" w:rsidP="008F44D8">
      <w:pPr>
        <w:ind w:left="1418"/>
        <w:jc w:val="both"/>
      </w:pPr>
    </w:p>
    <w:p w:rsidR="008F44D8" w:rsidRPr="000D039F" w:rsidRDefault="008F44D8" w:rsidP="008F44D8">
      <w:pPr>
        <w:ind w:left="1418"/>
        <w:jc w:val="both"/>
      </w:pPr>
      <w:r>
        <w:t>With the local council elections next May, i</w:t>
      </w:r>
      <w:r w:rsidRPr="000D039F">
        <w:t xml:space="preserve">t is suggested that </w:t>
      </w:r>
      <w:r>
        <w:t>the current councillors consider a</w:t>
      </w:r>
      <w:r w:rsidRPr="000D039F">
        <w:t>ppoint</w:t>
      </w:r>
      <w:r>
        <w:t>ing</w:t>
      </w:r>
      <w:r w:rsidRPr="000D039F">
        <w:t xml:space="preserve"> </w:t>
      </w:r>
      <w:r>
        <w:t xml:space="preserve">Re-Energize </w:t>
      </w:r>
      <w:r w:rsidRPr="000D039F">
        <w:t xml:space="preserve">to run the 2020 </w:t>
      </w:r>
      <w:r>
        <w:t>(</w:t>
      </w:r>
      <w:r w:rsidRPr="000D039F">
        <w:t xml:space="preserve">and </w:t>
      </w:r>
      <w:r>
        <w:t xml:space="preserve">possibly the </w:t>
      </w:r>
      <w:r w:rsidRPr="000D039F">
        <w:t>202</w:t>
      </w:r>
      <w:r>
        <w:t>1)</w:t>
      </w:r>
      <w:r w:rsidRPr="000D039F">
        <w:t xml:space="preserve"> </w:t>
      </w:r>
      <w:r>
        <w:t>F</w:t>
      </w:r>
      <w:r w:rsidRPr="000D039F">
        <w:t>estivals</w:t>
      </w:r>
      <w:r>
        <w:t xml:space="preserve"> and also look at the budget for the future events.</w:t>
      </w:r>
    </w:p>
    <w:p w:rsidR="001C0960" w:rsidRPr="001F1272" w:rsidRDefault="001C0960" w:rsidP="00BF2FA6">
      <w:pPr>
        <w:ind w:left="1418"/>
        <w:jc w:val="both"/>
        <w:rPr>
          <w:rFonts w:eastAsiaTheme="minorHAnsi"/>
          <w:color w:val="000000"/>
          <w:sz w:val="16"/>
          <w:szCs w:val="16"/>
        </w:rPr>
      </w:pPr>
    </w:p>
    <w:p w:rsidR="001C0960" w:rsidRPr="008F44D8" w:rsidRDefault="00F47F5F" w:rsidP="008F44D8">
      <w:pPr>
        <w:ind w:left="1418"/>
        <w:jc w:val="both"/>
        <w:rPr>
          <w:b/>
          <w:i/>
        </w:rPr>
      </w:pPr>
      <w:r w:rsidRPr="008F44D8">
        <w:rPr>
          <w:b/>
          <w:i/>
        </w:rPr>
        <w:tab/>
        <w:t>Following discussion, councillors agreed to “RECOMMEND to Full Council” that</w:t>
      </w:r>
      <w:r w:rsidR="00091EC0">
        <w:rPr>
          <w:b/>
          <w:i/>
        </w:rPr>
        <w:t>,</w:t>
      </w:r>
      <w:r w:rsidRPr="008F44D8">
        <w:rPr>
          <w:b/>
          <w:i/>
        </w:rPr>
        <w:t xml:space="preserve"> </w:t>
      </w:r>
      <w:r w:rsidR="008F44D8" w:rsidRPr="008F44D8">
        <w:rPr>
          <w:b/>
          <w:i/>
        </w:rPr>
        <w:t>in light of the fact that over the past few years, BSTC has been out to the marketplace on a number of occasions to invite companies to tender for the Community Festival with only one company (Re-Energize) responding to the invitation each time</w:t>
      </w:r>
      <w:r w:rsidR="00091EC0">
        <w:rPr>
          <w:b/>
          <w:i/>
        </w:rPr>
        <w:t xml:space="preserve"> with t</w:t>
      </w:r>
      <w:r w:rsidR="008F44D8" w:rsidRPr="008F44D8">
        <w:rPr>
          <w:b/>
          <w:i/>
        </w:rPr>
        <w:t xml:space="preserve">his limited response thought to be due to the very low profit margin which is not attractive to a new company coming in, BSTC appoint Re-Energize to run the 2020 Community </w:t>
      </w:r>
      <w:r w:rsidR="008F44D8">
        <w:rPr>
          <w:b/>
          <w:i/>
        </w:rPr>
        <w:t>F</w:t>
      </w:r>
      <w:r w:rsidR="008F44D8" w:rsidRPr="008F44D8">
        <w:rPr>
          <w:b/>
          <w:i/>
        </w:rPr>
        <w:t xml:space="preserve">estival with a </w:t>
      </w:r>
      <w:r w:rsidR="008F44D8">
        <w:rPr>
          <w:b/>
          <w:i/>
        </w:rPr>
        <w:t xml:space="preserve">set budget of </w:t>
      </w:r>
      <w:r w:rsidR="008F44D8" w:rsidRPr="008F44D8">
        <w:rPr>
          <w:b/>
          <w:i/>
        </w:rPr>
        <w:t>£21,000</w:t>
      </w:r>
      <w:r w:rsidR="008F44D8">
        <w:rPr>
          <w:b/>
          <w:i/>
        </w:rPr>
        <w:t xml:space="preserve"> </w:t>
      </w:r>
      <w:r w:rsidR="008F44D8" w:rsidRPr="008F44D8">
        <w:rPr>
          <w:b/>
          <w:i/>
        </w:rPr>
        <w:t xml:space="preserve">plus an extra £4,000 </w:t>
      </w:r>
      <w:r w:rsidR="004644F1">
        <w:rPr>
          <w:b/>
          <w:i/>
        </w:rPr>
        <w:t xml:space="preserve">moved from the </w:t>
      </w:r>
      <w:r w:rsidR="008F44D8" w:rsidRPr="008F44D8">
        <w:rPr>
          <w:b/>
          <w:i/>
        </w:rPr>
        <w:t>from the Community Development Grant Aid budget which is ring-fenced and subject to approval by Town Clerk and Chair of Leisure, Youth &amp; Amenities Committee</w:t>
      </w:r>
      <w:r w:rsidR="008F44D8">
        <w:rPr>
          <w:b/>
          <w:i/>
        </w:rPr>
        <w:t>,</w:t>
      </w:r>
      <w:r w:rsidR="008F44D8" w:rsidRPr="008F44D8">
        <w:rPr>
          <w:b/>
          <w:i/>
        </w:rPr>
        <w:t xml:space="preserve"> with the consideration of going out to tender again for the 2021 Community Festival</w:t>
      </w:r>
      <w:r w:rsidR="001C0960" w:rsidRPr="008F44D8">
        <w:rPr>
          <w:b/>
          <w:i/>
        </w:rPr>
        <w:t xml:space="preserve">  </w:t>
      </w:r>
    </w:p>
    <w:p w:rsidR="00127595" w:rsidRDefault="00127595" w:rsidP="00F47F5F">
      <w:pPr>
        <w:ind w:left="1440" w:hanging="1440"/>
        <w:jc w:val="both"/>
        <w:rPr>
          <w:b/>
          <w:i/>
        </w:rPr>
      </w:pPr>
    </w:p>
    <w:p w:rsidR="009708CA" w:rsidRDefault="009708CA" w:rsidP="00F47F5F">
      <w:pPr>
        <w:ind w:left="1440" w:hanging="1440"/>
        <w:jc w:val="both"/>
        <w:rPr>
          <w:b/>
          <w:i/>
        </w:rPr>
      </w:pPr>
    </w:p>
    <w:p w:rsidR="009C679F" w:rsidRPr="001E1553" w:rsidRDefault="008A3BA5" w:rsidP="009C679F">
      <w:pPr>
        <w:ind w:left="1440"/>
        <w:jc w:val="both"/>
        <w:rPr>
          <w:b/>
          <w:u w:val="single"/>
        </w:rPr>
      </w:pPr>
      <w:r>
        <w:rPr>
          <w:noProof/>
        </w:rPr>
        <w:drawing>
          <wp:anchor distT="0" distB="0" distL="114300" distR="114300" simplePos="0" relativeHeight="251659264" behindDoc="0" locked="0" layoutInCell="1" allowOverlap="1" wp14:anchorId="48FB8CF6" wp14:editId="755B87AA">
            <wp:simplePos x="0" y="0"/>
            <wp:positionH relativeFrom="column">
              <wp:posOffset>5033010</wp:posOffset>
            </wp:positionH>
            <wp:positionV relativeFrom="paragraph">
              <wp:posOffset>128270</wp:posOffset>
            </wp:positionV>
            <wp:extent cx="1049655" cy="1927860"/>
            <wp:effectExtent l="0" t="0" r="0" b="0"/>
            <wp:wrapSquare wrapText="bothSides"/>
            <wp:docPr id="1" name="Picture 1" descr="Life-size There But Not There To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fe-size There But Not There Tom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9655" cy="1927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u w:val="single"/>
        </w:rPr>
        <w:t>Possible Purchase of “There But Not There” statues</w:t>
      </w:r>
    </w:p>
    <w:p w:rsidR="009C679F" w:rsidRPr="00E82BFE" w:rsidRDefault="00DE5EE2" w:rsidP="009C679F">
      <w:pPr>
        <w:rPr>
          <w:sz w:val="16"/>
          <w:szCs w:val="16"/>
        </w:rPr>
      </w:pPr>
      <w:r>
        <w:rPr>
          <w:sz w:val="16"/>
          <w:szCs w:val="16"/>
        </w:rPr>
        <w:tab/>
      </w:r>
      <w:r>
        <w:rPr>
          <w:sz w:val="16"/>
          <w:szCs w:val="16"/>
        </w:rPr>
        <w:tab/>
      </w:r>
    </w:p>
    <w:p w:rsidR="008A3BA5" w:rsidRPr="008A3BA5" w:rsidRDefault="008A3BA5" w:rsidP="008A3BA5">
      <w:pPr>
        <w:spacing w:after="225"/>
        <w:ind w:left="1440"/>
        <w:textAlignment w:val="top"/>
        <w:outlineLvl w:val="0"/>
        <w:rPr>
          <w:rFonts w:ascii="Arial" w:hAnsi="Arial" w:cs="Arial"/>
          <w:vanish/>
          <w:sz w:val="20"/>
          <w:szCs w:val="20"/>
        </w:rPr>
      </w:pPr>
      <w:r w:rsidRPr="008A3BA5">
        <w:rPr>
          <w:kern w:val="36"/>
          <w:sz w:val="20"/>
          <w:szCs w:val="20"/>
        </w:rPr>
        <w:t xml:space="preserve">Tommy (6 foot aluminium) </w:t>
      </w:r>
      <w:r w:rsidRPr="008A3BA5">
        <w:rPr>
          <w:sz w:val="20"/>
          <w:szCs w:val="20"/>
        </w:rPr>
        <w:t xml:space="preserve">Regular price </w:t>
      </w:r>
      <w:r w:rsidRPr="008A3BA5">
        <w:rPr>
          <w:caps/>
          <w:color w:val="1C1D1D"/>
          <w:spacing w:val="24"/>
          <w:sz w:val="20"/>
          <w:szCs w:val="20"/>
        </w:rPr>
        <w:t>£750.00 (incl. VAT)</w:t>
      </w:r>
      <w:r>
        <w:rPr>
          <w:caps/>
          <w:color w:val="1C1D1D"/>
          <w:spacing w:val="24"/>
          <w:sz w:val="20"/>
          <w:szCs w:val="20"/>
        </w:rPr>
        <w:t xml:space="preserve">. </w:t>
      </w:r>
      <w:r w:rsidRPr="008A3BA5">
        <w:rPr>
          <w:rFonts w:ascii="Arial" w:hAnsi="Arial" w:cs="Arial"/>
          <w:vanish/>
          <w:sz w:val="20"/>
          <w:szCs w:val="20"/>
        </w:rPr>
        <w:t>Top of Form</w:t>
      </w:r>
    </w:p>
    <w:p w:rsidR="008A3BA5" w:rsidRPr="008A3BA5" w:rsidRDefault="008A3BA5" w:rsidP="008A3BA5">
      <w:pPr>
        <w:pBdr>
          <w:top w:val="single" w:sz="6" w:space="1" w:color="auto"/>
        </w:pBdr>
        <w:ind w:left="1440"/>
        <w:jc w:val="center"/>
        <w:rPr>
          <w:rFonts w:ascii="Arial" w:hAnsi="Arial" w:cs="Arial"/>
          <w:vanish/>
          <w:sz w:val="20"/>
          <w:szCs w:val="20"/>
        </w:rPr>
      </w:pPr>
      <w:r w:rsidRPr="008A3BA5">
        <w:rPr>
          <w:rFonts w:ascii="Arial" w:hAnsi="Arial" w:cs="Arial"/>
          <w:vanish/>
          <w:sz w:val="20"/>
          <w:szCs w:val="20"/>
        </w:rPr>
        <w:t>Bottom of Form</w:t>
      </w:r>
    </w:p>
    <w:p w:rsidR="008A3BA5" w:rsidRPr="008A3BA5" w:rsidRDefault="008A3BA5" w:rsidP="008A3BA5">
      <w:pPr>
        <w:ind w:left="1440"/>
        <w:textAlignment w:val="top"/>
        <w:rPr>
          <w:sz w:val="20"/>
          <w:szCs w:val="20"/>
        </w:rPr>
      </w:pPr>
      <w:r w:rsidRPr="008A3BA5">
        <w:rPr>
          <w:sz w:val="20"/>
          <w:szCs w:val="20"/>
        </w:rPr>
        <w:t xml:space="preserve">As seen around the UK at Giant's Causeway, Hearts FC, The Big Pit in Wales and The Tower of London, this 6ft version of the There But Not </w:t>
      </w:r>
      <w:proofErr w:type="gramStart"/>
      <w:r w:rsidRPr="008A3BA5">
        <w:rPr>
          <w:sz w:val="20"/>
          <w:szCs w:val="20"/>
        </w:rPr>
        <w:t>There</w:t>
      </w:r>
      <w:proofErr w:type="gramEnd"/>
      <w:r w:rsidRPr="008A3BA5">
        <w:rPr>
          <w:sz w:val="20"/>
          <w:szCs w:val="20"/>
        </w:rPr>
        <w:t xml:space="preserve"> Logo is a poignant and affecting image which embodies the There But Not There message. It also includes a small hole to attach a Poppy as in the beautiful image to the left.</w:t>
      </w:r>
      <w:r>
        <w:rPr>
          <w:sz w:val="20"/>
          <w:szCs w:val="20"/>
        </w:rPr>
        <w:t xml:space="preserve"> </w:t>
      </w:r>
      <w:r w:rsidRPr="008A3BA5">
        <w:rPr>
          <w:sz w:val="20"/>
          <w:szCs w:val="20"/>
        </w:rPr>
        <w:t>Weighing just 11kg and only 6mm thick, the hollow outline is cut out of lightweight aluminium giving it strength and durability and stands on a 500mm x 500mm base plate with four holes to allow it to be bolted or pegged into the ground. This will be shipped in a commemorative Tommy box and can be installed at any time, but especially during the Armistice 2018 period.</w:t>
      </w:r>
      <w:r>
        <w:rPr>
          <w:sz w:val="20"/>
          <w:szCs w:val="20"/>
        </w:rPr>
        <w:t xml:space="preserve"> </w:t>
      </w:r>
      <w:r w:rsidRPr="008A3BA5">
        <w:rPr>
          <w:sz w:val="20"/>
          <w:szCs w:val="20"/>
        </w:rPr>
        <w:t>A beautiful sculpture, we hope that people will treasure this, using it year after year or even installing it permanently to remember the Fallen. </w:t>
      </w:r>
    </w:p>
    <w:p w:rsidR="008A3BA5" w:rsidRDefault="008A3BA5" w:rsidP="000D005B">
      <w:pPr>
        <w:ind w:left="1440"/>
        <w:jc w:val="both"/>
      </w:pPr>
    </w:p>
    <w:p w:rsidR="002D4AAA" w:rsidRDefault="002D4AAA" w:rsidP="000D005B">
      <w:pPr>
        <w:ind w:left="1440"/>
        <w:jc w:val="both"/>
      </w:pPr>
    </w:p>
    <w:p w:rsidR="008A3BA5" w:rsidRPr="008A3BA5" w:rsidRDefault="008A3BA5" w:rsidP="000D005B">
      <w:pPr>
        <w:ind w:left="1440"/>
        <w:jc w:val="both"/>
      </w:pPr>
      <w:r w:rsidRPr="008A3BA5">
        <w:t>It has been suggested that BSTC purchase some of these statues to be sited on BSTC sites and possibly loaned to local schools.</w:t>
      </w:r>
    </w:p>
    <w:p w:rsidR="008A3BA5" w:rsidRDefault="008A3BA5" w:rsidP="000D005B">
      <w:pPr>
        <w:ind w:left="1440"/>
        <w:jc w:val="both"/>
        <w:rPr>
          <w:b/>
          <w:i/>
        </w:rPr>
      </w:pPr>
    </w:p>
    <w:p w:rsidR="00AD08FC" w:rsidRDefault="000D005B" w:rsidP="000D005B">
      <w:pPr>
        <w:ind w:left="1440"/>
        <w:jc w:val="both"/>
        <w:rPr>
          <w:b/>
          <w:i/>
        </w:rPr>
      </w:pPr>
      <w:r w:rsidRPr="00F47F5F">
        <w:rPr>
          <w:b/>
          <w:i/>
        </w:rPr>
        <w:t xml:space="preserve">Following </w:t>
      </w:r>
      <w:r w:rsidR="008A3BA5">
        <w:rPr>
          <w:b/>
          <w:i/>
        </w:rPr>
        <w:t xml:space="preserve">much </w:t>
      </w:r>
      <w:r w:rsidRPr="00F47F5F">
        <w:rPr>
          <w:b/>
          <w:i/>
        </w:rPr>
        <w:t>discussion, councillors agreed to “RECOMMEND to Full Council” that</w:t>
      </w:r>
      <w:r w:rsidR="008A3BA5">
        <w:rPr>
          <w:b/>
          <w:i/>
        </w:rPr>
        <w:t xml:space="preserve"> this matter be referred to Full Council for discussion and decision</w:t>
      </w:r>
      <w:r w:rsidRPr="00F47F5F">
        <w:rPr>
          <w:b/>
          <w:i/>
        </w:rPr>
        <w:t xml:space="preserve"> </w:t>
      </w:r>
    </w:p>
    <w:p w:rsidR="00AD08FC" w:rsidRDefault="00AD08FC" w:rsidP="000D005B">
      <w:pPr>
        <w:ind w:left="1440"/>
        <w:jc w:val="both"/>
        <w:rPr>
          <w:b/>
          <w:i/>
        </w:rPr>
      </w:pPr>
    </w:p>
    <w:p w:rsidR="002255C6" w:rsidRDefault="002255C6" w:rsidP="00F47F5F">
      <w:pPr>
        <w:ind w:left="1440" w:hanging="1440"/>
        <w:jc w:val="both"/>
        <w:rPr>
          <w:b/>
          <w:i/>
        </w:rPr>
      </w:pPr>
    </w:p>
    <w:p w:rsidR="002255C6" w:rsidRPr="001E1553" w:rsidRDefault="007870B4" w:rsidP="002255C6">
      <w:pPr>
        <w:ind w:left="1440"/>
        <w:jc w:val="both"/>
        <w:rPr>
          <w:b/>
          <w:u w:val="single"/>
        </w:rPr>
      </w:pPr>
      <w:r>
        <w:rPr>
          <w:b/>
          <w:u w:val="single"/>
        </w:rPr>
        <w:t xml:space="preserve">Replacement of 5 Noticeboards around the town </w:t>
      </w:r>
      <w:r w:rsidR="00F17720">
        <w:rPr>
          <w:b/>
          <w:u w:val="single"/>
        </w:rPr>
        <w:t xml:space="preserve">(N/C </w:t>
      </w:r>
      <w:r>
        <w:rPr>
          <w:b/>
          <w:u w:val="single"/>
        </w:rPr>
        <w:t>3019</w:t>
      </w:r>
      <w:r w:rsidR="00F17720">
        <w:rPr>
          <w:b/>
          <w:u w:val="single"/>
        </w:rPr>
        <w:t>)</w:t>
      </w:r>
      <w:r w:rsidR="004242A5">
        <w:rPr>
          <w:b/>
          <w:u w:val="single"/>
        </w:rPr>
        <w:t xml:space="preserve"> and purchase of new noticeboard for skatepark</w:t>
      </w:r>
    </w:p>
    <w:p w:rsidR="002255C6" w:rsidRPr="00E82BFE" w:rsidRDefault="002255C6" w:rsidP="002255C6">
      <w:pPr>
        <w:rPr>
          <w:sz w:val="16"/>
          <w:szCs w:val="16"/>
        </w:rPr>
      </w:pPr>
    </w:p>
    <w:p w:rsidR="007870B4" w:rsidRPr="00606FF2" w:rsidRDefault="007870B4" w:rsidP="007870B4">
      <w:pPr>
        <w:ind w:left="1418"/>
        <w:jc w:val="both"/>
      </w:pPr>
      <w:r w:rsidRPr="00606FF2">
        <w:t>The notice boards in the town</w:t>
      </w:r>
      <w:r>
        <w:t xml:space="preserve"> </w:t>
      </w:r>
      <w:r w:rsidRPr="00606FF2">
        <w:rPr>
          <w:lang w:val="en-US"/>
        </w:rPr>
        <w:t>(Baileys Court Tesco’s, Brook Way Activity Centre, Evangelical Church, Jubilee Centre and Pear Tree Road)</w:t>
      </w:r>
      <w:r>
        <w:rPr>
          <w:lang w:val="en-US"/>
        </w:rPr>
        <w:t xml:space="preserve"> </w:t>
      </w:r>
      <w:r w:rsidRPr="00606FF2">
        <w:t>are approx. 25 years old an</w:t>
      </w:r>
      <w:r>
        <w:t xml:space="preserve">d BSTC has </w:t>
      </w:r>
      <w:r w:rsidRPr="00606FF2">
        <w:t>carried out some work (designing new and obtaining a cost) in the hope we can replace and update them all. The current notice boards have lasted well but are very weathered and difficult to operate due to the wear and tear. The locking mechanisms have been maintained and replaced a number of times.</w:t>
      </w:r>
    </w:p>
    <w:p w:rsidR="007870B4" w:rsidRPr="00606FF2" w:rsidRDefault="007870B4" w:rsidP="007870B4">
      <w:pPr>
        <w:ind w:left="1418"/>
        <w:jc w:val="both"/>
      </w:pPr>
    </w:p>
    <w:p w:rsidR="007870B4" w:rsidRPr="00606FF2" w:rsidRDefault="007870B4" w:rsidP="007870B4">
      <w:pPr>
        <w:ind w:left="1418"/>
        <w:jc w:val="both"/>
      </w:pPr>
      <w:r w:rsidRPr="00606FF2">
        <w:t>Although they are available in different colours</w:t>
      </w:r>
      <w:r>
        <w:t xml:space="preserve">, the </w:t>
      </w:r>
      <w:r w:rsidRPr="00606FF2">
        <w:t>preference was to keep them like for like hence why we have gone with a silver and BSTC logo across the top. The costs include everything from bespoke posts and panels to the install so all being well will last us another 25 plus years once installed</w:t>
      </w:r>
      <w:r w:rsidR="001663B1">
        <w:t xml:space="preserve">. </w:t>
      </w:r>
      <w:r w:rsidRPr="00606FF2">
        <w:t>Cost obtained from Total Print Solutions: £10,798.22</w:t>
      </w:r>
    </w:p>
    <w:p w:rsidR="007870B4" w:rsidRPr="00606FF2" w:rsidRDefault="007870B4" w:rsidP="007870B4">
      <w:pPr>
        <w:ind w:left="1418"/>
        <w:jc w:val="both"/>
      </w:pPr>
    </w:p>
    <w:p w:rsidR="007870B4" w:rsidRPr="00606FF2" w:rsidRDefault="007870B4" w:rsidP="007870B4">
      <w:pPr>
        <w:ind w:left="1418"/>
        <w:jc w:val="both"/>
      </w:pPr>
      <w:r w:rsidRPr="00606FF2">
        <w:t>This will be great to update over the coming months as we have several around the town giving off a very professional impression to the residents who regularly read the literature within them.</w:t>
      </w:r>
    </w:p>
    <w:p w:rsidR="007870B4" w:rsidRDefault="007870B4" w:rsidP="002255C6">
      <w:pPr>
        <w:ind w:left="1440"/>
        <w:jc w:val="both"/>
      </w:pPr>
    </w:p>
    <w:p w:rsidR="00F17720" w:rsidRDefault="002255C6" w:rsidP="002255C6">
      <w:pPr>
        <w:ind w:left="1440"/>
        <w:jc w:val="both"/>
        <w:rPr>
          <w:b/>
          <w:i/>
        </w:rPr>
      </w:pPr>
      <w:r w:rsidRPr="001E1553">
        <w:rPr>
          <w:b/>
          <w:i/>
        </w:rPr>
        <w:t xml:space="preserve">Following discussion, councillors agreed to “RECOMMEND to Full Council” that </w:t>
      </w:r>
      <w:r w:rsidR="00AB4EF1">
        <w:rPr>
          <w:b/>
          <w:i/>
        </w:rPr>
        <w:t xml:space="preserve">BSTC </w:t>
      </w:r>
      <w:r w:rsidR="007870B4">
        <w:rPr>
          <w:b/>
          <w:i/>
        </w:rPr>
        <w:t xml:space="preserve">purchase 5 replacement noticeboards for the town and add a new one at the skatepark during this current financial year using </w:t>
      </w:r>
      <w:r w:rsidR="004644F1">
        <w:rPr>
          <w:b/>
          <w:i/>
        </w:rPr>
        <w:t>the Street Furniture Reserve (</w:t>
      </w:r>
      <w:r w:rsidR="007870B4">
        <w:rPr>
          <w:b/>
          <w:i/>
        </w:rPr>
        <w:t>N/C 3019</w:t>
      </w:r>
      <w:r w:rsidR="004644F1">
        <w:rPr>
          <w:b/>
          <w:i/>
        </w:rPr>
        <w:t>)</w:t>
      </w:r>
      <w:r w:rsidR="007870B4">
        <w:rPr>
          <w:b/>
          <w:i/>
        </w:rPr>
        <w:t xml:space="preserve"> and replenish the reserve from any 2018/19 year end surplus</w:t>
      </w:r>
    </w:p>
    <w:p w:rsidR="00F17720" w:rsidRDefault="00F17720" w:rsidP="002255C6">
      <w:pPr>
        <w:ind w:left="1440"/>
        <w:jc w:val="both"/>
        <w:rPr>
          <w:b/>
          <w:i/>
        </w:rPr>
      </w:pPr>
    </w:p>
    <w:p w:rsidR="002B67AD" w:rsidRDefault="002B67AD" w:rsidP="00F47F5F">
      <w:pPr>
        <w:ind w:left="1440" w:hanging="1440"/>
        <w:jc w:val="both"/>
        <w:rPr>
          <w:b/>
          <w:i/>
        </w:rPr>
      </w:pPr>
    </w:p>
    <w:p w:rsidR="0076280E" w:rsidRPr="005A6A93" w:rsidRDefault="001663B1" w:rsidP="0076280E">
      <w:pPr>
        <w:ind w:left="1440"/>
        <w:jc w:val="both"/>
        <w:rPr>
          <w:b/>
          <w:u w:val="single"/>
        </w:rPr>
      </w:pPr>
      <w:r>
        <w:rPr>
          <w:b/>
          <w:u w:val="single"/>
        </w:rPr>
        <w:t>Replacement of Parking Bays at the Jubilee Centre</w:t>
      </w:r>
    </w:p>
    <w:p w:rsidR="0076280E" w:rsidRPr="005A6A93" w:rsidRDefault="0076280E" w:rsidP="0076280E">
      <w:pPr>
        <w:ind w:left="1440"/>
        <w:jc w:val="both"/>
        <w:rPr>
          <w:b/>
          <w:sz w:val="16"/>
          <w:szCs w:val="16"/>
          <w:u w:val="single"/>
        </w:rPr>
      </w:pPr>
    </w:p>
    <w:p w:rsidR="001663B1" w:rsidRPr="00F639E1" w:rsidRDefault="001663B1" w:rsidP="001663B1">
      <w:pPr>
        <w:ind w:left="1440"/>
        <w:jc w:val="both"/>
      </w:pPr>
      <w:r w:rsidRPr="00F639E1">
        <w:t>The car parking bays at the Jubilee Centre are extremely tight and we have a number of bumps and scrapes from car doors banging into cars parked adjacent (especially during school runs).</w:t>
      </w:r>
      <w:r>
        <w:t xml:space="preserve"> BSTC has </w:t>
      </w:r>
      <w:r w:rsidRPr="00F639E1">
        <w:t>met with a contractor to burn away all current lines and start from scratch but replacing at the recommended up to date parking bay dimensions. We will lose a total of 4 parking bays that will not impact on the day to day operation of the site.</w:t>
      </w:r>
      <w:r>
        <w:t xml:space="preserve"> </w:t>
      </w:r>
      <w:r w:rsidRPr="00F639E1">
        <w:t>This work will be very welcome to regular users of the site for sure.</w:t>
      </w:r>
      <w:r>
        <w:t xml:space="preserve"> </w:t>
      </w:r>
      <w:r w:rsidRPr="00F639E1">
        <w:t>Avon Road Marks: £1,268.50   </w:t>
      </w:r>
    </w:p>
    <w:p w:rsidR="00BD55A3" w:rsidRDefault="00BD55A3" w:rsidP="00A4219F">
      <w:pPr>
        <w:ind w:left="1440"/>
        <w:jc w:val="both"/>
      </w:pPr>
    </w:p>
    <w:p w:rsidR="0076280E" w:rsidRDefault="0076280E" w:rsidP="0076280E">
      <w:pPr>
        <w:ind w:left="1440" w:hanging="1440"/>
        <w:jc w:val="both"/>
        <w:rPr>
          <w:b/>
          <w:i/>
        </w:rPr>
      </w:pPr>
      <w:r>
        <w:tab/>
      </w:r>
      <w:r w:rsidRPr="00F47F5F">
        <w:rPr>
          <w:b/>
          <w:i/>
        </w:rPr>
        <w:t xml:space="preserve">Following discussion, councillors agreed to “RECOMMEND to Full Council” that </w:t>
      </w:r>
      <w:r>
        <w:rPr>
          <w:b/>
          <w:i/>
        </w:rPr>
        <w:t xml:space="preserve">BSTC </w:t>
      </w:r>
      <w:r w:rsidR="001663B1">
        <w:rPr>
          <w:b/>
          <w:i/>
        </w:rPr>
        <w:t>replace the parking bays at the Jubilee Centre</w:t>
      </w:r>
      <w:r w:rsidR="00F2572E">
        <w:rPr>
          <w:b/>
          <w:i/>
        </w:rPr>
        <w:t xml:space="preserve"> </w:t>
      </w:r>
    </w:p>
    <w:p w:rsidR="0076280E" w:rsidRDefault="0076280E" w:rsidP="008006DD"/>
    <w:p w:rsidR="0076280E" w:rsidRDefault="0076280E" w:rsidP="008006DD"/>
    <w:p w:rsidR="008006DD" w:rsidRDefault="00E82BFE" w:rsidP="008006DD">
      <w:r>
        <w:t xml:space="preserve">Other </w:t>
      </w:r>
      <w:r w:rsidR="0076280E">
        <w:t>a</w:t>
      </w:r>
      <w:r>
        <w:t>reas discussed, but no recommendations made</w:t>
      </w:r>
    </w:p>
    <w:p w:rsidR="00E82BFE" w:rsidRDefault="00C85498" w:rsidP="00872FF6">
      <w:pPr>
        <w:pStyle w:val="ListParagraph"/>
        <w:numPr>
          <w:ilvl w:val="0"/>
          <w:numId w:val="10"/>
        </w:numPr>
        <w:spacing w:after="0" w:line="240" w:lineRule="auto"/>
        <w:ind w:left="714" w:hanging="357"/>
        <w:rPr>
          <w:rFonts w:ascii="Times New Roman" w:hAnsi="Times New Roman"/>
          <w:sz w:val="24"/>
          <w:szCs w:val="24"/>
        </w:rPr>
      </w:pPr>
      <w:r>
        <w:rPr>
          <w:rFonts w:ascii="Times New Roman" w:hAnsi="Times New Roman"/>
          <w:sz w:val="24"/>
          <w:szCs w:val="24"/>
        </w:rPr>
        <w:t>Update on potential training on the graffiti removal machine – training undertaken by BSTC staff, damage waiver form completed and approved by insurance company. BSTC is now in a position to offer a graffiti removal service to the residents of the town.</w:t>
      </w:r>
    </w:p>
    <w:p w:rsidR="007A2AD1" w:rsidRDefault="00C85498" w:rsidP="00EC672F">
      <w:pPr>
        <w:pStyle w:val="ListParagraph"/>
        <w:numPr>
          <w:ilvl w:val="0"/>
          <w:numId w:val="10"/>
        </w:numPr>
        <w:spacing w:after="0" w:line="240" w:lineRule="auto"/>
        <w:ind w:left="714" w:hanging="357"/>
        <w:rPr>
          <w:rFonts w:ascii="Times New Roman" w:hAnsi="Times New Roman"/>
          <w:sz w:val="24"/>
          <w:szCs w:val="24"/>
        </w:rPr>
      </w:pPr>
      <w:r w:rsidRPr="00C85498">
        <w:rPr>
          <w:rFonts w:ascii="Times New Roman" w:hAnsi="Times New Roman"/>
          <w:sz w:val="24"/>
          <w:szCs w:val="24"/>
        </w:rPr>
        <w:t>Review of future proposed expenditure across the board – covered under 2.1</w:t>
      </w:r>
    </w:p>
    <w:p w:rsidR="00E82BFE" w:rsidRDefault="00C85498" w:rsidP="006F624B">
      <w:pPr>
        <w:pStyle w:val="ListParagraph"/>
        <w:numPr>
          <w:ilvl w:val="0"/>
          <w:numId w:val="10"/>
        </w:numPr>
        <w:spacing w:after="0" w:line="240" w:lineRule="auto"/>
        <w:ind w:left="714" w:hanging="357"/>
      </w:pPr>
      <w:r>
        <w:rPr>
          <w:rFonts w:ascii="Times New Roman" w:hAnsi="Times New Roman"/>
          <w:sz w:val="24"/>
          <w:szCs w:val="24"/>
        </w:rPr>
        <w:t>Future Plan to replace retiring staff</w:t>
      </w:r>
      <w:r w:rsidR="00E82BFE">
        <w:t xml:space="preserve"> </w:t>
      </w:r>
    </w:p>
    <w:p w:rsidR="00AE5135" w:rsidRDefault="00AE5135" w:rsidP="009714A3">
      <w:pPr>
        <w:jc w:val="center"/>
        <w:outlineLvl w:val="0"/>
        <w:rPr>
          <w:b/>
          <w:sz w:val="16"/>
          <w:szCs w:val="16"/>
        </w:rPr>
      </w:pPr>
    </w:p>
    <w:p w:rsidR="009714A3" w:rsidRDefault="009714A3" w:rsidP="009714A3">
      <w:pPr>
        <w:jc w:val="center"/>
        <w:outlineLvl w:val="0"/>
        <w:rPr>
          <w:b/>
          <w:sz w:val="36"/>
          <w:szCs w:val="36"/>
        </w:rPr>
      </w:pPr>
      <w:r w:rsidRPr="004555B0">
        <w:rPr>
          <w:b/>
          <w:sz w:val="36"/>
          <w:szCs w:val="36"/>
        </w:rPr>
        <w:t>Bradley Stoke Town Council</w:t>
      </w:r>
    </w:p>
    <w:p w:rsidR="009714A3" w:rsidRDefault="009714A3" w:rsidP="009714A3">
      <w:pPr>
        <w:jc w:val="center"/>
        <w:rPr>
          <w:b/>
          <w:sz w:val="28"/>
          <w:szCs w:val="28"/>
        </w:rPr>
      </w:pPr>
    </w:p>
    <w:p w:rsidR="007667AF" w:rsidRPr="009714A3" w:rsidRDefault="007667AF" w:rsidP="009714A3">
      <w:pPr>
        <w:jc w:val="center"/>
        <w:rPr>
          <w:b/>
          <w:sz w:val="28"/>
          <w:szCs w:val="28"/>
        </w:rPr>
      </w:pPr>
      <w:r w:rsidRPr="009714A3">
        <w:rPr>
          <w:b/>
          <w:sz w:val="28"/>
          <w:szCs w:val="28"/>
        </w:rPr>
        <w:t xml:space="preserve">SUMMARY OF RECOMMENDATIONS TO BE CONSIDERED BY FULL COUNCIL ON </w:t>
      </w:r>
      <w:r w:rsidR="00CF5F67">
        <w:rPr>
          <w:b/>
          <w:sz w:val="28"/>
          <w:szCs w:val="28"/>
        </w:rPr>
        <w:t>19</w:t>
      </w:r>
      <w:r w:rsidR="00050C55" w:rsidRPr="00050C55">
        <w:rPr>
          <w:b/>
          <w:sz w:val="28"/>
          <w:szCs w:val="28"/>
          <w:vertAlign w:val="superscript"/>
        </w:rPr>
        <w:t>th</w:t>
      </w:r>
      <w:r w:rsidR="00050C55">
        <w:rPr>
          <w:b/>
          <w:sz w:val="28"/>
          <w:szCs w:val="28"/>
        </w:rPr>
        <w:t xml:space="preserve"> </w:t>
      </w:r>
      <w:r w:rsidRPr="009714A3">
        <w:rPr>
          <w:b/>
          <w:sz w:val="28"/>
          <w:szCs w:val="28"/>
        </w:rPr>
        <w:t>SEPTEMBER 201</w:t>
      </w:r>
      <w:r w:rsidR="00CF5F67">
        <w:rPr>
          <w:b/>
          <w:sz w:val="28"/>
          <w:szCs w:val="28"/>
        </w:rPr>
        <w:t>8</w:t>
      </w:r>
    </w:p>
    <w:p w:rsidR="007667AF" w:rsidRDefault="007667AF" w:rsidP="007D22FD">
      <w:pPr>
        <w:jc w:val="both"/>
      </w:pPr>
    </w:p>
    <w:p w:rsidR="00CC2223" w:rsidRPr="007A2AD1" w:rsidRDefault="00CC2223" w:rsidP="00CC2223">
      <w:pPr>
        <w:rPr>
          <w:b/>
          <w:u w:val="single"/>
        </w:rPr>
      </w:pPr>
      <w:r>
        <w:rPr>
          <w:b/>
          <w:u w:val="single"/>
        </w:rPr>
        <w:t>1. Hard-hitting Poster Campaign on Anti-littering</w:t>
      </w:r>
      <w:r w:rsidRPr="007A2AD1">
        <w:rPr>
          <w:b/>
          <w:u w:val="single"/>
        </w:rPr>
        <w:t xml:space="preserve"> </w:t>
      </w:r>
    </w:p>
    <w:p w:rsidR="00CC2223" w:rsidRPr="00CF5F67" w:rsidRDefault="00CC2223" w:rsidP="00CC2223">
      <w:pPr>
        <w:pStyle w:val="ListParagraph"/>
        <w:spacing w:after="0" w:line="240" w:lineRule="auto"/>
        <w:ind w:left="0"/>
        <w:jc w:val="both"/>
        <w:rPr>
          <w:rFonts w:ascii="Times New Roman" w:hAnsi="Times New Roman"/>
          <w:i/>
        </w:rPr>
      </w:pPr>
      <w:r w:rsidRPr="00CF5F67">
        <w:rPr>
          <w:rFonts w:ascii="Times New Roman" w:hAnsi="Times New Roman"/>
          <w:i/>
        </w:rPr>
        <w:t>Councillors agreed to “RECOMMEND to Full Council” that BSTC undertakes an anti-littering poster campaign with adverts/articles in Bradley Stoke Journal and on noticeboards around the town.</w:t>
      </w:r>
    </w:p>
    <w:p w:rsidR="00CC2223" w:rsidRDefault="00CC2223" w:rsidP="00050C55">
      <w:pPr>
        <w:rPr>
          <w:b/>
          <w:u w:val="single"/>
        </w:rPr>
      </w:pPr>
    </w:p>
    <w:p w:rsidR="00CC2223" w:rsidRPr="007A2AD1" w:rsidRDefault="00CC2223" w:rsidP="00CC2223">
      <w:pPr>
        <w:rPr>
          <w:b/>
          <w:u w:val="single"/>
        </w:rPr>
      </w:pPr>
      <w:r>
        <w:rPr>
          <w:b/>
          <w:u w:val="single"/>
        </w:rPr>
        <w:t>2. Litter Bins around Bradley Stoke</w:t>
      </w:r>
      <w:r w:rsidRPr="007A2AD1">
        <w:rPr>
          <w:b/>
          <w:u w:val="single"/>
        </w:rPr>
        <w:t xml:space="preserve"> </w:t>
      </w:r>
    </w:p>
    <w:p w:rsidR="00CC2223" w:rsidRPr="00CF5F67" w:rsidRDefault="00CC2223" w:rsidP="00CC2223">
      <w:pPr>
        <w:pStyle w:val="ListParagraph"/>
        <w:spacing w:after="0" w:line="240" w:lineRule="auto"/>
        <w:ind w:left="0"/>
        <w:jc w:val="both"/>
        <w:rPr>
          <w:rFonts w:ascii="Times New Roman" w:hAnsi="Times New Roman"/>
          <w:i/>
        </w:rPr>
      </w:pPr>
      <w:r w:rsidRPr="00CF5F67">
        <w:rPr>
          <w:rFonts w:ascii="Times New Roman" w:hAnsi="Times New Roman"/>
          <w:i/>
        </w:rPr>
        <w:t>Councillors agreed to “RECOMMEND to Full Council” that BSTC reviews the strategic direction of waste bins across the town with a view to trialling recycling bins in various locations (including the skatepark)</w:t>
      </w:r>
    </w:p>
    <w:p w:rsidR="00CC2223" w:rsidRDefault="00CC2223" w:rsidP="00050C55">
      <w:pPr>
        <w:rPr>
          <w:b/>
          <w:u w:val="single"/>
        </w:rPr>
      </w:pPr>
    </w:p>
    <w:p w:rsidR="00921ED3" w:rsidRDefault="00921ED3" w:rsidP="00921ED3">
      <w:pPr>
        <w:jc w:val="both"/>
      </w:pPr>
      <w:r>
        <w:rPr>
          <w:b/>
          <w:u w:val="single"/>
        </w:rPr>
        <w:t>3. Next stage skatepark development: including DDA accessible surface and access ramp outside container; equipping interior of containers; completion of landscaping; project tools &amp; equipment</w:t>
      </w:r>
      <w:r w:rsidRPr="000621E3">
        <w:t xml:space="preserve"> </w:t>
      </w:r>
    </w:p>
    <w:p w:rsidR="00921ED3" w:rsidRPr="00CF5F67" w:rsidRDefault="00921ED3" w:rsidP="00921ED3">
      <w:pPr>
        <w:jc w:val="both"/>
        <w:rPr>
          <w:i/>
          <w:sz w:val="22"/>
          <w:szCs w:val="22"/>
        </w:rPr>
      </w:pPr>
      <w:r w:rsidRPr="00CF5F67">
        <w:rPr>
          <w:i/>
          <w:sz w:val="22"/>
          <w:szCs w:val="22"/>
        </w:rPr>
        <w:t>Councillors agreed to “RECOMMEND to Full Council” that BSTC obtain costings and approval for internal fittings and equipment for new youth building at the skatepark and a DDA accessible external surface for the area immediately outside the new building</w:t>
      </w:r>
    </w:p>
    <w:p w:rsidR="00921ED3" w:rsidRDefault="00921ED3" w:rsidP="00050C55">
      <w:pPr>
        <w:rPr>
          <w:b/>
          <w:u w:val="single"/>
        </w:rPr>
      </w:pPr>
    </w:p>
    <w:p w:rsidR="00785CB6" w:rsidRDefault="00785CB6" w:rsidP="00785CB6">
      <w:pPr>
        <w:ind w:left="720" w:hanging="720"/>
        <w:rPr>
          <w:b/>
          <w:u w:val="single"/>
        </w:rPr>
      </w:pPr>
      <w:r>
        <w:rPr>
          <w:b/>
          <w:u w:val="single"/>
        </w:rPr>
        <w:t xml:space="preserve">4. </w:t>
      </w:r>
      <w:r w:rsidRPr="00921ED3">
        <w:rPr>
          <w:b/>
          <w:u w:val="single"/>
        </w:rPr>
        <w:t>Youth staffing</w:t>
      </w:r>
    </w:p>
    <w:p w:rsidR="00785CB6" w:rsidRPr="00CF5F67" w:rsidRDefault="00785CB6" w:rsidP="00785CB6">
      <w:pPr>
        <w:jc w:val="both"/>
        <w:rPr>
          <w:i/>
          <w:sz w:val="22"/>
          <w:szCs w:val="22"/>
        </w:rPr>
      </w:pPr>
      <w:r w:rsidRPr="00CF5F67">
        <w:rPr>
          <w:i/>
          <w:sz w:val="22"/>
          <w:szCs w:val="22"/>
        </w:rPr>
        <w:t>Councillors agreed to “RECOMMEND to Full Council” protection of current unallocated youth reserves (N/C 3079) to be reviewed at 2019 Strategic Planning meeting and for any unspent Youth Budgets (N/C 5499 and N/C 5500) at 2018/19 year end to be transferred over to unallocated youth reserve (N/C 3079) to fund the developing youth provision</w:t>
      </w:r>
    </w:p>
    <w:p w:rsidR="009B7BF4" w:rsidRDefault="009B7BF4" w:rsidP="00050C55">
      <w:pPr>
        <w:rPr>
          <w:b/>
          <w:u w:val="single"/>
        </w:rPr>
      </w:pPr>
    </w:p>
    <w:p w:rsidR="009B7BF4" w:rsidRPr="001E1553" w:rsidRDefault="009B7BF4" w:rsidP="009B7BF4">
      <w:pPr>
        <w:jc w:val="both"/>
        <w:rPr>
          <w:b/>
          <w:u w:val="single"/>
        </w:rPr>
      </w:pPr>
      <w:r>
        <w:rPr>
          <w:b/>
          <w:u w:val="single"/>
        </w:rPr>
        <w:t>5. Installation of a Multi-Use Games Area (MUGA) to progress in tandem with leisure equipment for Jubilee Green</w:t>
      </w:r>
    </w:p>
    <w:p w:rsidR="009B7BF4" w:rsidRPr="00CF5F67" w:rsidRDefault="009B7BF4" w:rsidP="009B7BF4">
      <w:pPr>
        <w:jc w:val="both"/>
        <w:rPr>
          <w:i/>
          <w:sz w:val="22"/>
          <w:szCs w:val="22"/>
        </w:rPr>
      </w:pPr>
      <w:r w:rsidRPr="00CF5F67">
        <w:rPr>
          <w:i/>
          <w:sz w:val="22"/>
          <w:szCs w:val="22"/>
        </w:rPr>
        <w:t xml:space="preserve">Councillors agreed to “RECOMMEND to Full Council” that BSTC continues to progress the installation of a MUGA in tandem with the installation of leisure equipment on the Jubilee Green </w:t>
      </w:r>
    </w:p>
    <w:p w:rsidR="009B7BF4" w:rsidRDefault="009B7BF4" w:rsidP="00050C55">
      <w:pPr>
        <w:rPr>
          <w:b/>
          <w:u w:val="single"/>
        </w:rPr>
      </w:pPr>
    </w:p>
    <w:p w:rsidR="008F44D8" w:rsidRDefault="008F44D8" w:rsidP="008F44D8">
      <w:pPr>
        <w:ind w:left="1440" w:hanging="1440"/>
        <w:jc w:val="both"/>
        <w:rPr>
          <w:b/>
          <w:u w:val="single"/>
        </w:rPr>
      </w:pPr>
      <w:r>
        <w:rPr>
          <w:b/>
          <w:u w:val="single"/>
        </w:rPr>
        <w:t>6. Community Festival 2020 and 2021</w:t>
      </w:r>
    </w:p>
    <w:p w:rsidR="008A3BA5" w:rsidRPr="00CF5F67" w:rsidRDefault="00230AB9" w:rsidP="008A3BA5">
      <w:pPr>
        <w:jc w:val="both"/>
        <w:rPr>
          <w:i/>
          <w:sz w:val="22"/>
          <w:szCs w:val="22"/>
        </w:rPr>
      </w:pPr>
      <w:r w:rsidRPr="00CF5F67">
        <w:rPr>
          <w:i/>
          <w:sz w:val="22"/>
          <w:szCs w:val="22"/>
        </w:rPr>
        <w:t>C</w:t>
      </w:r>
      <w:r w:rsidR="008A3BA5" w:rsidRPr="00CF5F67">
        <w:rPr>
          <w:i/>
          <w:sz w:val="22"/>
          <w:szCs w:val="22"/>
        </w:rPr>
        <w:t>ouncillors agreed to “RECOMMEND to Full Council” that</w:t>
      </w:r>
      <w:r w:rsidR="002D4AAA">
        <w:rPr>
          <w:i/>
          <w:sz w:val="22"/>
          <w:szCs w:val="22"/>
        </w:rPr>
        <w:t>,</w:t>
      </w:r>
      <w:r w:rsidR="008A3BA5" w:rsidRPr="00CF5F67">
        <w:rPr>
          <w:i/>
          <w:sz w:val="22"/>
          <w:szCs w:val="22"/>
        </w:rPr>
        <w:t xml:space="preserve"> in light of the fact that over the past few years, BSTC has been out to the marketplace on a number of occasions to invite companies to tender for the Community Festival with only one company (Re-Energize) responding to the invitation each time</w:t>
      </w:r>
      <w:r w:rsidR="00CF5F67">
        <w:rPr>
          <w:i/>
          <w:sz w:val="22"/>
          <w:szCs w:val="22"/>
        </w:rPr>
        <w:t xml:space="preserve"> with t</w:t>
      </w:r>
      <w:r w:rsidR="008A3BA5" w:rsidRPr="00CF5F67">
        <w:rPr>
          <w:i/>
          <w:sz w:val="22"/>
          <w:szCs w:val="22"/>
        </w:rPr>
        <w:t xml:space="preserve">his limited response thought to be due to the very low profit margin which is not attractive to a new company coming in, BSTC appoint Re-Energize to run the 2020 Community Festival with a set budget of £21,000 plus an extra £4,000 </w:t>
      </w:r>
      <w:r w:rsidR="004644F1">
        <w:rPr>
          <w:i/>
          <w:sz w:val="22"/>
          <w:szCs w:val="22"/>
        </w:rPr>
        <w:t xml:space="preserve">moved </w:t>
      </w:r>
      <w:r w:rsidR="008A3BA5" w:rsidRPr="00CF5F67">
        <w:rPr>
          <w:i/>
          <w:sz w:val="22"/>
          <w:szCs w:val="22"/>
        </w:rPr>
        <w:t xml:space="preserve">from the Community Development Grant Aid budget which is ring-fenced and subject to approval by Town Clerk and Chair of Leisure, Youth &amp; Amenities Committee, with the consideration of going out to tender again for the 2021 Community Festival  </w:t>
      </w:r>
    </w:p>
    <w:p w:rsidR="008F44D8" w:rsidRDefault="008F44D8" w:rsidP="008A3BA5">
      <w:pPr>
        <w:ind w:left="1440" w:hanging="1276"/>
        <w:jc w:val="both"/>
        <w:rPr>
          <w:b/>
          <w:u w:val="single"/>
        </w:rPr>
      </w:pPr>
    </w:p>
    <w:p w:rsidR="008F44D8" w:rsidRDefault="008A3BA5" w:rsidP="008F44D8">
      <w:pPr>
        <w:ind w:left="1440" w:hanging="1440"/>
        <w:jc w:val="both"/>
        <w:rPr>
          <w:b/>
          <w:u w:val="single"/>
        </w:rPr>
      </w:pPr>
      <w:r>
        <w:rPr>
          <w:b/>
          <w:u w:val="single"/>
        </w:rPr>
        <w:t>7. Possible Purchase of “There But Not There” statues</w:t>
      </w:r>
    </w:p>
    <w:p w:rsidR="00230AB9" w:rsidRPr="00CF5F67" w:rsidRDefault="00230AB9" w:rsidP="00230AB9">
      <w:pPr>
        <w:jc w:val="both"/>
        <w:rPr>
          <w:i/>
          <w:sz w:val="22"/>
          <w:szCs w:val="22"/>
        </w:rPr>
      </w:pPr>
      <w:r w:rsidRPr="00CF5F67">
        <w:rPr>
          <w:i/>
          <w:sz w:val="22"/>
          <w:szCs w:val="22"/>
        </w:rPr>
        <w:t xml:space="preserve">Councillors agreed to “RECOMMEND to Full Council” that this matter be referred to Full Council for discussion and decision </w:t>
      </w:r>
    </w:p>
    <w:p w:rsidR="008A3BA5" w:rsidRDefault="008A3BA5" w:rsidP="00050C55">
      <w:pPr>
        <w:rPr>
          <w:b/>
          <w:u w:val="single"/>
        </w:rPr>
      </w:pPr>
    </w:p>
    <w:p w:rsidR="007870B4" w:rsidRPr="001E1553" w:rsidRDefault="007870B4" w:rsidP="004242A5">
      <w:pPr>
        <w:jc w:val="both"/>
        <w:rPr>
          <w:b/>
          <w:u w:val="single"/>
        </w:rPr>
      </w:pPr>
      <w:r>
        <w:rPr>
          <w:b/>
          <w:u w:val="single"/>
        </w:rPr>
        <w:t>8. Replacement of 5 Noticeboards around the town (N/C 3019)</w:t>
      </w:r>
      <w:r w:rsidR="004242A5">
        <w:rPr>
          <w:b/>
          <w:u w:val="single"/>
        </w:rPr>
        <w:t xml:space="preserve"> plus purchase of new noticeboard for skatepark</w:t>
      </w:r>
    </w:p>
    <w:p w:rsidR="007870B4" w:rsidRPr="00CF5F67" w:rsidRDefault="007870B4" w:rsidP="007870B4">
      <w:pPr>
        <w:jc w:val="both"/>
        <w:rPr>
          <w:i/>
          <w:sz w:val="22"/>
          <w:szCs w:val="22"/>
        </w:rPr>
      </w:pPr>
      <w:r w:rsidRPr="00CF5F67">
        <w:rPr>
          <w:i/>
          <w:sz w:val="22"/>
          <w:szCs w:val="22"/>
        </w:rPr>
        <w:t xml:space="preserve">Councillors agreed to “RECOMMEND to Full Council” that BSTC purchase 5 replacement noticeboards for the town and add a new one at the skatepark during this current financial year using </w:t>
      </w:r>
      <w:r w:rsidR="004644F1">
        <w:rPr>
          <w:i/>
          <w:sz w:val="22"/>
          <w:szCs w:val="22"/>
        </w:rPr>
        <w:t>the Street Furniture Reserve (</w:t>
      </w:r>
      <w:r w:rsidRPr="00CF5F67">
        <w:rPr>
          <w:i/>
          <w:sz w:val="22"/>
          <w:szCs w:val="22"/>
        </w:rPr>
        <w:t>N/C 3019</w:t>
      </w:r>
      <w:r w:rsidR="004644F1">
        <w:rPr>
          <w:i/>
          <w:sz w:val="22"/>
          <w:szCs w:val="22"/>
        </w:rPr>
        <w:t>)</w:t>
      </w:r>
      <w:r w:rsidRPr="00CF5F67">
        <w:rPr>
          <w:i/>
          <w:sz w:val="22"/>
          <w:szCs w:val="22"/>
        </w:rPr>
        <w:t xml:space="preserve"> and replenish the reserve from any 2018/19 year end surplus</w:t>
      </w:r>
    </w:p>
    <w:p w:rsidR="008A3BA5" w:rsidRDefault="008A3BA5" w:rsidP="00050C55">
      <w:pPr>
        <w:rPr>
          <w:b/>
          <w:u w:val="single"/>
        </w:rPr>
      </w:pPr>
    </w:p>
    <w:p w:rsidR="001663B1" w:rsidRPr="005A6A93" w:rsidRDefault="001663B1" w:rsidP="001663B1">
      <w:pPr>
        <w:jc w:val="both"/>
        <w:rPr>
          <w:b/>
          <w:u w:val="single"/>
        </w:rPr>
      </w:pPr>
      <w:r>
        <w:rPr>
          <w:b/>
          <w:u w:val="single"/>
        </w:rPr>
        <w:t>9. Replacement of Parking Bays at the Jubilee Centre</w:t>
      </w:r>
    </w:p>
    <w:p w:rsidR="00A01B64" w:rsidRPr="001663B1" w:rsidRDefault="001663B1" w:rsidP="00A01B64">
      <w:pPr>
        <w:jc w:val="both"/>
        <w:rPr>
          <w:i/>
        </w:rPr>
      </w:pPr>
      <w:r w:rsidRPr="00CF5F67">
        <w:rPr>
          <w:i/>
          <w:sz w:val="22"/>
          <w:szCs w:val="22"/>
        </w:rPr>
        <w:t xml:space="preserve">Councillors agreed to “RECOMMEND to Full Council” that BSTC replace the parking bays at the Jubilee Centre </w:t>
      </w:r>
    </w:p>
    <w:p w:rsidR="00C11EE8" w:rsidRPr="00A01B64" w:rsidRDefault="00C11EE8" w:rsidP="00A01B64">
      <w:pPr>
        <w:jc w:val="both"/>
        <w:sectPr w:rsidR="00C11EE8" w:rsidRPr="00A01B64" w:rsidSect="009714A3">
          <w:headerReference w:type="default" r:id="rId8"/>
          <w:footerReference w:type="even" r:id="rId9"/>
          <w:footerReference w:type="default" r:id="rId10"/>
          <w:pgSz w:w="11906" w:h="16838"/>
          <w:pgMar w:top="851" w:right="1134" w:bottom="851" w:left="1134" w:header="709" w:footer="709" w:gutter="0"/>
          <w:cols w:space="708"/>
          <w:docGrid w:linePitch="360"/>
        </w:sectPr>
      </w:pPr>
    </w:p>
    <w:p w:rsidR="00BE3513" w:rsidRDefault="00BE3513" w:rsidP="00642BAB">
      <w:pPr>
        <w:jc w:val="right"/>
        <w:rPr>
          <w:b/>
        </w:rPr>
      </w:pPr>
      <w:r w:rsidRPr="00E6461B">
        <w:rPr>
          <w:b/>
        </w:rPr>
        <w:lastRenderedPageBreak/>
        <w:t>Appendix A</w:t>
      </w:r>
    </w:p>
    <w:tbl>
      <w:tblPr>
        <w:tblW w:w="16569" w:type="dxa"/>
        <w:tblLayout w:type="fixed"/>
        <w:tblLook w:val="04A0" w:firstRow="1" w:lastRow="0" w:firstColumn="1" w:lastColumn="0" w:noHBand="0" w:noVBand="1"/>
      </w:tblPr>
      <w:tblGrid>
        <w:gridCol w:w="2406"/>
        <w:gridCol w:w="248"/>
        <w:gridCol w:w="100"/>
        <w:gridCol w:w="149"/>
        <w:gridCol w:w="978"/>
        <w:gridCol w:w="648"/>
        <w:gridCol w:w="322"/>
        <w:gridCol w:w="812"/>
        <w:gridCol w:w="637"/>
        <w:gridCol w:w="533"/>
        <w:gridCol w:w="531"/>
        <w:gridCol w:w="709"/>
        <w:gridCol w:w="235"/>
        <w:gridCol w:w="649"/>
        <w:gridCol w:w="675"/>
        <w:gridCol w:w="268"/>
        <w:gridCol w:w="616"/>
        <w:gridCol w:w="676"/>
        <w:gridCol w:w="291"/>
        <w:gridCol w:w="701"/>
        <w:gridCol w:w="637"/>
        <w:gridCol w:w="392"/>
        <w:gridCol w:w="492"/>
        <w:gridCol w:w="747"/>
        <w:gridCol w:w="198"/>
        <w:gridCol w:w="110"/>
        <w:gridCol w:w="126"/>
        <w:gridCol w:w="463"/>
        <w:gridCol w:w="83"/>
        <w:gridCol w:w="236"/>
        <w:gridCol w:w="198"/>
        <w:gridCol w:w="38"/>
        <w:gridCol w:w="105"/>
        <w:gridCol w:w="93"/>
        <w:gridCol w:w="227"/>
        <w:gridCol w:w="12"/>
        <w:gridCol w:w="228"/>
      </w:tblGrid>
      <w:tr w:rsidR="00F9470A" w:rsidTr="00AC7651">
        <w:trPr>
          <w:gridAfter w:val="1"/>
          <w:wAfter w:w="224" w:type="dxa"/>
          <w:trHeight w:val="68"/>
        </w:trPr>
        <w:tc>
          <w:tcPr>
            <w:tcW w:w="14654" w:type="dxa"/>
            <w:gridSpan w:val="25"/>
            <w:tcBorders>
              <w:top w:val="nil"/>
              <w:left w:val="nil"/>
              <w:bottom w:val="nil"/>
              <w:right w:val="nil"/>
            </w:tcBorders>
            <w:shd w:val="clear" w:color="auto" w:fill="auto"/>
            <w:vAlign w:val="bottom"/>
            <w:hideMark/>
          </w:tcPr>
          <w:p w:rsidR="00F9470A" w:rsidRPr="00F9470A" w:rsidRDefault="00F9470A">
            <w:pPr>
              <w:jc w:val="center"/>
              <w:rPr>
                <w:rFonts w:ascii="Arial" w:hAnsi="Arial" w:cs="Arial"/>
                <w:b/>
                <w:bCs/>
                <w:sz w:val="12"/>
                <w:szCs w:val="12"/>
              </w:rPr>
            </w:pPr>
            <w:bookmarkStart w:id="3" w:name="RANGE!A1:L39"/>
            <w:r w:rsidRPr="00F9470A">
              <w:rPr>
                <w:rFonts w:ascii="Arial" w:hAnsi="Arial" w:cs="Arial"/>
                <w:b/>
                <w:bCs/>
                <w:sz w:val="12"/>
                <w:szCs w:val="12"/>
              </w:rPr>
              <w:t xml:space="preserve">2018/19 -APPROVED BUDGET AND 5 YEAR FORWARD PLAN - 8/8/18 with Confirmed Staff Changes + NJC Restructure  -    </w:t>
            </w:r>
            <w:bookmarkEnd w:id="3"/>
          </w:p>
        </w:tc>
        <w:tc>
          <w:tcPr>
            <w:tcW w:w="236" w:type="dxa"/>
            <w:gridSpan w:val="2"/>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b/>
                <w:bCs/>
                <w:sz w:val="12"/>
                <w:szCs w:val="12"/>
              </w:rPr>
            </w:pPr>
          </w:p>
        </w:tc>
        <w:tc>
          <w:tcPr>
            <w:tcW w:w="980" w:type="dxa"/>
            <w:gridSpan w:val="4"/>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3"/>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9"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6D425F">
        <w:trPr>
          <w:gridAfter w:val="5"/>
          <w:wAfter w:w="661" w:type="dxa"/>
          <w:trHeight w:val="135"/>
        </w:trPr>
        <w:tc>
          <w:tcPr>
            <w:tcW w:w="2408"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49"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50"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978"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648"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1134"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637"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1064"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709"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884"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675"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884"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67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992"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637"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884"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747"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980" w:type="dxa"/>
            <w:gridSpan w:val="5"/>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6D425F">
        <w:trPr>
          <w:gridAfter w:val="5"/>
          <w:wAfter w:w="661" w:type="dxa"/>
          <w:trHeight w:val="255"/>
        </w:trPr>
        <w:tc>
          <w:tcPr>
            <w:tcW w:w="2408"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49"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tcPr>
          <w:p w:rsidR="00F9470A" w:rsidRPr="00F9470A" w:rsidRDefault="00F9470A">
            <w:pPr>
              <w:jc w:val="center"/>
              <w:rPr>
                <w:rFonts w:ascii="Arial" w:hAnsi="Arial" w:cs="Arial"/>
                <w:b/>
                <w:bCs/>
                <w:sz w:val="12"/>
                <w:szCs w:val="12"/>
              </w:rPr>
            </w:pPr>
          </w:p>
        </w:tc>
        <w:tc>
          <w:tcPr>
            <w:tcW w:w="250" w:type="dxa"/>
            <w:gridSpan w:val="2"/>
            <w:vMerge w:val="restart"/>
            <w:tcBorders>
              <w:top w:val="single" w:sz="4" w:space="0" w:color="auto"/>
              <w:left w:val="single" w:sz="4" w:space="0" w:color="auto"/>
              <w:bottom w:val="single" w:sz="4" w:space="0" w:color="000000"/>
              <w:right w:val="nil"/>
            </w:tcBorders>
            <w:shd w:val="clear" w:color="000000" w:fill="FFFF99"/>
            <w:vAlign w:val="center"/>
          </w:tcPr>
          <w:p w:rsidR="00F9470A" w:rsidRPr="00F9470A" w:rsidRDefault="00F9470A">
            <w:pPr>
              <w:jc w:val="center"/>
              <w:rPr>
                <w:rFonts w:ascii="Arial" w:hAnsi="Arial" w:cs="Arial"/>
                <w:b/>
                <w:bCs/>
                <w:sz w:val="12"/>
                <w:szCs w:val="12"/>
              </w:rPr>
            </w:pPr>
          </w:p>
        </w:tc>
        <w:tc>
          <w:tcPr>
            <w:tcW w:w="978" w:type="dxa"/>
            <w:vMerge w:val="restart"/>
            <w:tcBorders>
              <w:top w:val="single" w:sz="4" w:space="0" w:color="auto"/>
              <w:left w:val="single" w:sz="4" w:space="0" w:color="auto"/>
              <w:bottom w:val="single" w:sz="4" w:space="0" w:color="000000"/>
              <w:right w:val="single" w:sz="4" w:space="0" w:color="auto"/>
            </w:tcBorders>
            <w:shd w:val="clear" w:color="000000" w:fill="FF99CC"/>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2016/17 Actuals</w:t>
            </w:r>
          </w:p>
        </w:tc>
        <w:tc>
          <w:tcPr>
            <w:tcW w:w="648" w:type="dxa"/>
            <w:vMerge w:val="restart"/>
            <w:tcBorders>
              <w:top w:val="single" w:sz="4" w:space="0" w:color="auto"/>
              <w:left w:val="single" w:sz="4" w:space="0" w:color="auto"/>
              <w:bottom w:val="single" w:sz="4" w:space="0" w:color="000000"/>
              <w:right w:val="nil"/>
            </w:tcBorders>
            <w:shd w:val="clear" w:color="000000" w:fill="FF99CC"/>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 change</w:t>
            </w:r>
          </w:p>
        </w:tc>
        <w:tc>
          <w:tcPr>
            <w:tcW w:w="1134" w:type="dxa"/>
            <w:gridSpan w:val="2"/>
            <w:vMerge w:val="restart"/>
            <w:tcBorders>
              <w:top w:val="single" w:sz="12" w:space="0" w:color="auto"/>
              <w:left w:val="single" w:sz="12" w:space="0" w:color="auto"/>
              <w:bottom w:val="single" w:sz="4" w:space="0" w:color="000000"/>
              <w:right w:val="single" w:sz="4" w:space="0" w:color="auto"/>
            </w:tcBorders>
            <w:shd w:val="clear" w:color="000000" w:fill="FABF8F"/>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2017/18 Actuals @ 12/6/18</w:t>
            </w:r>
          </w:p>
        </w:tc>
        <w:tc>
          <w:tcPr>
            <w:tcW w:w="637" w:type="dxa"/>
            <w:vMerge w:val="restart"/>
            <w:tcBorders>
              <w:top w:val="single" w:sz="12" w:space="0" w:color="auto"/>
              <w:left w:val="single" w:sz="4" w:space="0" w:color="auto"/>
              <w:bottom w:val="single" w:sz="4" w:space="0" w:color="000000"/>
              <w:right w:val="single" w:sz="12" w:space="0" w:color="auto"/>
            </w:tcBorders>
            <w:shd w:val="clear" w:color="000000" w:fill="FABF8F"/>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 change</w:t>
            </w:r>
          </w:p>
        </w:tc>
        <w:tc>
          <w:tcPr>
            <w:tcW w:w="1064" w:type="dxa"/>
            <w:gridSpan w:val="2"/>
            <w:vMerge w:val="restart"/>
            <w:tcBorders>
              <w:top w:val="single" w:sz="4" w:space="0" w:color="auto"/>
              <w:left w:val="nil"/>
              <w:bottom w:val="single" w:sz="4" w:space="0" w:color="000000"/>
              <w:right w:val="single" w:sz="4" w:space="0" w:color="auto"/>
            </w:tcBorders>
            <w:shd w:val="clear" w:color="000000" w:fill="FFFF00"/>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Approved Budget 2018/19 @ July  2018</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00"/>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 change</w:t>
            </w:r>
          </w:p>
        </w:tc>
        <w:tc>
          <w:tcPr>
            <w:tcW w:w="884" w:type="dxa"/>
            <w:gridSpan w:val="2"/>
            <w:vMerge w:val="restart"/>
            <w:tcBorders>
              <w:top w:val="single" w:sz="4" w:space="0" w:color="auto"/>
              <w:left w:val="single" w:sz="4" w:space="0" w:color="auto"/>
              <w:bottom w:val="single" w:sz="4" w:space="0" w:color="000000"/>
              <w:right w:val="single" w:sz="4" w:space="0" w:color="auto"/>
            </w:tcBorders>
            <w:shd w:val="clear" w:color="000000" w:fill="CC99FF"/>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Projected Budget 2019/20</w:t>
            </w:r>
          </w:p>
        </w:tc>
        <w:tc>
          <w:tcPr>
            <w:tcW w:w="675" w:type="dxa"/>
            <w:vMerge w:val="restart"/>
            <w:tcBorders>
              <w:top w:val="single" w:sz="4" w:space="0" w:color="auto"/>
              <w:left w:val="single" w:sz="4" w:space="0" w:color="auto"/>
              <w:bottom w:val="single" w:sz="4" w:space="0" w:color="000000"/>
              <w:right w:val="single" w:sz="4" w:space="0" w:color="auto"/>
            </w:tcBorders>
            <w:shd w:val="clear" w:color="000000" w:fill="CC99FF"/>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 change</w:t>
            </w:r>
          </w:p>
        </w:tc>
        <w:tc>
          <w:tcPr>
            <w:tcW w:w="884" w:type="dxa"/>
            <w:gridSpan w:val="2"/>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Projected Budget 2020/21</w:t>
            </w:r>
          </w:p>
        </w:tc>
        <w:tc>
          <w:tcPr>
            <w:tcW w:w="676" w:type="dxa"/>
            <w:vMerge w:val="restart"/>
            <w:tcBorders>
              <w:top w:val="single" w:sz="4" w:space="0" w:color="auto"/>
              <w:left w:val="single" w:sz="4" w:space="0" w:color="auto"/>
              <w:bottom w:val="single" w:sz="4" w:space="0" w:color="000000"/>
              <w:right w:val="single" w:sz="4" w:space="0" w:color="auto"/>
            </w:tcBorders>
            <w:shd w:val="clear" w:color="000000" w:fill="C4D79B"/>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 change</w:t>
            </w:r>
          </w:p>
        </w:tc>
        <w:tc>
          <w:tcPr>
            <w:tcW w:w="992" w:type="dxa"/>
            <w:gridSpan w:val="2"/>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Approved Budget 2021/22</w:t>
            </w:r>
          </w:p>
        </w:tc>
        <w:tc>
          <w:tcPr>
            <w:tcW w:w="637" w:type="dxa"/>
            <w:vMerge w:val="restart"/>
            <w:tcBorders>
              <w:top w:val="single" w:sz="4" w:space="0" w:color="auto"/>
              <w:left w:val="single" w:sz="4" w:space="0" w:color="auto"/>
              <w:bottom w:val="single" w:sz="4" w:space="0" w:color="000000"/>
              <w:right w:val="single" w:sz="4" w:space="0" w:color="auto"/>
            </w:tcBorders>
            <w:shd w:val="clear" w:color="000000" w:fill="B8CCE4"/>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 change</w:t>
            </w:r>
          </w:p>
        </w:tc>
        <w:tc>
          <w:tcPr>
            <w:tcW w:w="884" w:type="dxa"/>
            <w:gridSpan w:val="2"/>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Approved Budget 2022/23</w:t>
            </w:r>
          </w:p>
        </w:tc>
        <w:tc>
          <w:tcPr>
            <w:tcW w:w="747"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 change</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b/>
                <w:bCs/>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75"/>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70A" w:rsidRPr="00F9470A" w:rsidRDefault="00F9470A">
            <w:pPr>
              <w:rPr>
                <w:rFonts w:ascii="Arial" w:hAnsi="Arial" w:cs="Arial"/>
                <w:b/>
                <w:bCs/>
                <w:sz w:val="12"/>
                <w:szCs w:val="12"/>
              </w:rPr>
            </w:pPr>
            <w:r w:rsidRPr="00F9470A">
              <w:rPr>
                <w:rFonts w:ascii="Arial" w:hAnsi="Arial" w:cs="Arial"/>
                <w:b/>
                <w:bCs/>
                <w:sz w:val="12"/>
                <w:szCs w:val="12"/>
              </w:rPr>
              <w:t>INCOME</w:t>
            </w:r>
          </w:p>
        </w:tc>
        <w:tc>
          <w:tcPr>
            <w:tcW w:w="249" w:type="dxa"/>
            <w:vMerge/>
            <w:tcBorders>
              <w:top w:val="single" w:sz="4" w:space="0" w:color="auto"/>
              <w:left w:val="single" w:sz="4" w:space="0" w:color="auto"/>
              <w:bottom w:val="single" w:sz="4" w:space="0" w:color="000000"/>
              <w:right w:val="single" w:sz="4" w:space="0" w:color="auto"/>
            </w:tcBorders>
            <w:vAlign w:val="center"/>
          </w:tcPr>
          <w:p w:rsidR="00F9470A" w:rsidRPr="00F9470A" w:rsidRDefault="00F9470A">
            <w:pPr>
              <w:rPr>
                <w:rFonts w:ascii="Arial" w:hAnsi="Arial" w:cs="Arial"/>
                <w:b/>
                <w:bCs/>
                <w:sz w:val="12"/>
                <w:szCs w:val="12"/>
              </w:rPr>
            </w:pPr>
          </w:p>
        </w:tc>
        <w:tc>
          <w:tcPr>
            <w:tcW w:w="250" w:type="dxa"/>
            <w:gridSpan w:val="2"/>
            <w:vMerge/>
            <w:tcBorders>
              <w:top w:val="single" w:sz="4" w:space="0" w:color="auto"/>
              <w:left w:val="single" w:sz="4" w:space="0" w:color="auto"/>
              <w:bottom w:val="single" w:sz="4" w:space="0" w:color="000000"/>
              <w:right w:val="nil"/>
            </w:tcBorders>
            <w:vAlign w:val="center"/>
          </w:tcPr>
          <w:p w:rsidR="00F9470A" w:rsidRPr="00F9470A" w:rsidRDefault="00F9470A">
            <w:pPr>
              <w:rPr>
                <w:rFonts w:ascii="Arial" w:hAnsi="Arial" w:cs="Arial"/>
                <w:b/>
                <w:bCs/>
                <w:sz w:val="12"/>
                <w:szCs w:val="12"/>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F9470A" w:rsidRPr="00F9470A" w:rsidRDefault="00F9470A">
            <w:pPr>
              <w:rPr>
                <w:rFonts w:ascii="Arial" w:hAnsi="Arial" w:cs="Arial"/>
                <w:b/>
                <w:bCs/>
                <w:sz w:val="12"/>
                <w:szCs w:val="12"/>
              </w:rPr>
            </w:pPr>
          </w:p>
        </w:tc>
        <w:tc>
          <w:tcPr>
            <w:tcW w:w="648" w:type="dxa"/>
            <w:vMerge/>
            <w:tcBorders>
              <w:top w:val="single" w:sz="4" w:space="0" w:color="auto"/>
              <w:left w:val="single" w:sz="4" w:space="0" w:color="auto"/>
              <w:bottom w:val="single" w:sz="4" w:space="0" w:color="000000"/>
              <w:right w:val="nil"/>
            </w:tcBorders>
            <w:vAlign w:val="center"/>
            <w:hideMark/>
          </w:tcPr>
          <w:p w:rsidR="00F9470A" w:rsidRPr="00F9470A" w:rsidRDefault="00F9470A">
            <w:pPr>
              <w:rPr>
                <w:rFonts w:ascii="Arial" w:hAnsi="Arial" w:cs="Arial"/>
                <w:b/>
                <w:bCs/>
                <w:sz w:val="12"/>
                <w:szCs w:val="12"/>
              </w:rPr>
            </w:pPr>
          </w:p>
        </w:tc>
        <w:tc>
          <w:tcPr>
            <w:tcW w:w="1134" w:type="dxa"/>
            <w:gridSpan w:val="2"/>
            <w:vMerge/>
            <w:tcBorders>
              <w:top w:val="single" w:sz="12" w:space="0" w:color="auto"/>
              <w:left w:val="single" w:sz="12" w:space="0" w:color="auto"/>
              <w:bottom w:val="single" w:sz="4" w:space="0" w:color="000000"/>
              <w:right w:val="single" w:sz="4" w:space="0" w:color="auto"/>
            </w:tcBorders>
            <w:vAlign w:val="center"/>
            <w:hideMark/>
          </w:tcPr>
          <w:p w:rsidR="00F9470A" w:rsidRPr="00F9470A" w:rsidRDefault="00F9470A">
            <w:pPr>
              <w:rPr>
                <w:rFonts w:ascii="Arial" w:hAnsi="Arial" w:cs="Arial"/>
                <w:b/>
                <w:bCs/>
                <w:sz w:val="12"/>
                <w:szCs w:val="12"/>
              </w:rPr>
            </w:pPr>
          </w:p>
        </w:tc>
        <w:tc>
          <w:tcPr>
            <w:tcW w:w="637" w:type="dxa"/>
            <w:vMerge/>
            <w:tcBorders>
              <w:top w:val="single" w:sz="12" w:space="0" w:color="auto"/>
              <w:left w:val="single" w:sz="4" w:space="0" w:color="auto"/>
              <w:bottom w:val="single" w:sz="4" w:space="0" w:color="000000"/>
              <w:right w:val="single" w:sz="12" w:space="0" w:color="auto"/>
            </w:tcBorders>
            <w:vAlign w:val="center"/>
            <w:hideMark/>
          </w:tcPr>
          <w:p w:rsidR="00F9470A" w:rsidRPr="00F9470A" w:rsidRDefault="00F9470A">
            <w:pPr>
              <w:rPr>
                <w:rFonts w:ascii="Arial" w:hAnsi="Arial" w:cs="Arial"/>
                <w:b/>
                <w:bCs/>
                <w:sz w:val="12"/>
                <w:szCs w:val="12"/>
              </w:rPr>
            </w:pPr>
          </w:p>
        </w:tc>
        <w:tc>
          <w:tcPr>
            <w:tcW w:w="1064" w:type="dxa"/>
            <w:gridSpan w:val="2"/>
            <w:vMerge/>
            <w:tcBorders>
              <w:top w:val="single" w:sz="4" w:space="0" w:color="auto"/>
              <w:left w:val="nil"/>
              <w:bottom w:val="single" w:sz="4" w:space="0" w:color="000000"/>
              <w:right w:val="single" w:sz="4" w:space="0" w:color="auto"/>
            </w:tcBorders>
            <w:vAlign w:val="center"/>
            <w:hideMark/>
          </w:tcPr>
          <w:p w:rsidR="00F9470A" w:rsidRPr="00F9470A" w:rsidRDefault="00F9470A">
            <w:pPr>
              <w:rPr>
                <w:rFonts w:ascii="Arial" w:hAnsi="Arial" w:cs="Arial"/>
                <w:b/>
                <w:bCs/>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F9470A" w:rsidRPr="00F9470A" w:rsidRDefault="00F9470A">
            <w:pPr>
              <w:rPr>
                <w:rFonts w:ascii="Arial" w:hAnsi="Arial" w:cs="Arial"/>
                <w:b/>
                <w:bCs/>
                <w:sz w:val="12"/>
                <w:szCs w:val="12"/>
              </w:rPr>
            </w:pPr>
          </w:p>
        </w:tc>
        <w:tc>
          <w:tcPr>
            <w:tcW w:w="884" w:type="dxa"/>
            <w:gridSpan w:val="2"/>
            <w:vMerge/>
            <w:tcBorders>
              <w:top w:val="single" w:sz="4" w:space="0" w:color="auto"/>
              <w:left w:val="single" w:sz="4" w:space="0" w:color="auto"/>
              <w:bottom w:val="single" w:sz="4" w:space="0" w:color="000000"/>
              <w:right w:val="single" w:sz="4" w:space="0" w:color="auto"/>
            </w:tcBorders>
            <w:vAlign w:val="center"/>
            <w:hideMark/>
          </w:tcPr>
          <w:p w:rsidR="00F9470A" w:rsidRPr="00F9470A" w:rsidRDefault="00F9470A">
            <w:pPr>
              <w:rPr>
                <w:rFonts w:ascii="Arial" w:hAnsi="Arial" w:cs="Arial"/>
                <w:b/>
                <w:bCs/>
                <w:sz w:val="12"/>
                <w:szCs w:val="12"/>
              </w:rPr>
            </w:pPr>
          </w:p>
        </w:tc>
        <w:tc>
          <w:tcPr>
            <w:tcW w:w="675" w:type="dxa"/>
            <w:vMerge/>
            <w:tcBorders>
              <w:top w:val="single" w:sz="4" w:space="0" w:color="auto"/>
              <w:left w:val="single" w:sz="4" w:space="0" w:color="auto"/>
              <w:bottom w:val="single" w:sz="4" w:space="0" w:color="000000"/>
              <w:right w:val="single" w:sz="4" w:space="0" w:color="auto"/>
            </w:tcBorders>
            <w:vAlign w:val="center"/>
            <w:hideMark/>
          </w:tcPr>
          <w:p w:rsidR="00F9470A" w:rsidRPr="00F9470A" w:rsidRDefault="00F9470A">
            <w:pPr>
              <w:rPr>
                <w:rFonts w:ascii="Arial" w:hAnsi="Arial" w:cs="Arial"/>
                <w:b/>
                <w:bCs/>
                <w:sz w:val="12"/>
                <w:szCs w:val="12"/>
              </w:rPr>
            </w:pPr>
          </w:p>
        </w:tc>
        <w:tc>
          <w:tcPr>
            <w:tcW w:w="884" w:type="dxa"/>
            <w:gridSpan w:val="2"/>
            <w:vMerge/>
            <w:tcBorders>
              <w:top w:val="single" w:sz="4" w:space="0" w:color="auto"/>
              <w:left w:val="single" w:sz="4" w:space="0" w:color="auto"/>
              <w:bottom w:val="single" w:sz="4" w:space="0" w:color="000000"/>
              <w:right w:val="single" w:sz="4" w:space="0" w:color="auto"/>
            </w:tcBorders>
            <w:vAlign w:val="center"/>
            <w:hideMark/>
          </w:tcPr>
          <w:p w:rsidR="00F9470A" w:rsidRPr="00F9470A" w:rsidRDefault="00F9470A">
            <w:pPr>
              <w:rPr>
                <w:rFonts w:ascii="Arial" w:hAnsi="Arial" w:cs="Arial"/>
                <w:b/>
                <w:bCs/>
                <w:sz w:val="12"/>
                <w:szCs w:val="12"/>
              </w:rPr>
            </w:pPr>
          </w:p>
        </w:tc>
        <w:tc>
          <w:tcPr>
            <w:tcW w:w="676" w:type="dxa"/>
            <w:vMerge/>
            <w:tcBorders>
              <w:top w:val="single" w:sz="4" w:space="0" w:color="auto"/>
              <w:left w:val="single" w:sz="4" w:space="0" w:color="auto"/>
              <w:bottom w:val="single" w:sz="4" w:space="0" w:color="000000"/>
              <w:right w:val="single" w:sz="4" w:space="0" w:color="auto"/>
            </w:tcBorders>
            <w:vAlign w:val="center"/>
            <w:hideMark/>
          </w:tcPr>
          <w:p w:rsidR="00F9470A" w:rsidRPr="00F9470A" w:rsidRDefault="00F9470A">
            <w:pPr>
              <w:rPr>
                <w:rFonts w:ascii="Arial" w:hAnsi="Arial" w:cs="Arial"/>
                <w:b/>
                <w:bCs/>
                <w:sz w:val="12"/>
                <w:szCs w:val="12"/>
              </w:rPr>
            </w:pPr>
          </w:p>
        </w:tc>
        <w:tc>
          <w:tcPr>
            <w:tcW w:w="992" w:type="dxa"/>
            <w:gridSpan w:val="2"/>
            <w:vMerge/>
            <w:tcBorders>
              <w:top w:val="single" w:sz="4" w:space="0" w:color="auto"/>
              <w:left w:val="single" w:sz="4" w:space="0" w:color="auto"/>
              <w:bottom w:val="single" w:sz="4" w:space="0" w:color="000000"/>
              <w:right w:val="single" w:sz="4" w:space="0" w:color="auto"/>
            </w:tcBorders>
            <w:vAlign w:val="center"/>
            <w:hideMark/>
          </w:tcPr>
          <w:p w:rsidR="00F9470A" w:rsidRPr="00F9470A" w:rsidRDefault="00F9470A">
            <w:pPr>
              <w:rPr>
                <w:rFonts w:ascii="Arial" w:hAnsi="Arial" w:cs="Arial"/>
                <w:b/>
                <w:bCs/>
                <w:sz w:val="12"/>
                <w:szCs w:val="12"/>
              </w:rPr>
            </w:pPr>
          </w:p>
        </w:tc>
        <w:tc>
          <w:tcPr>
            <w:tcW w:w="637" w:type="dxa"/>
            <w:vMerge/>
            <w:tcBorders>
              <w:top w:val="single" w:sz="4" w:space="0" w:color="auto"/>
              <w:left w:val="single" w:sz="4" w:space="0" w:color="auto"/>
              <w:bottom w:val="single" w:sz="4" w:space="0" w:color="000000"/>
              <w:right w:val="single" w:sz="4" w:space="0" w:color="auto"/>
            </w:tcBorders>
            <w:vAlign w:val="center"/>
            <w:hideMark/>
          </w:tcPr>
          <w:p w:rsidR="00F9470A" w:rsidRPr="00F9470A" w:rsidRDefault="00F9470A">
            <w:pPr>
              <w:rPr>
                <w:rFonts w:ascii="Arial" w:hAnsi="Arial" w:cs="Arial"/>
                <w:b/>
                <w:bCs/>
                <w:sz w:val="12"/>
                <w:szCs w:val="12"/>
              </w:rPr>
            </w:pPr>
          </w:p>
        </w:tc>
        <w:tc>
          <w:tcPr>
            <w:tcW w:w="884" w:type="dxa"/>
            <w:gridSpan w:val="2"/>
            <w:vMerge/>
            <w:tcBorders>
              <w:top w:val="single" w:sz="4" w:space="0" w:color="auto"/>
              <w:left w:val="single" w:sz="4" w:space="0" w:color="auto"/>
              <w:bottom w:val="single" w:sz="4" w:space="0" w:color="000000"/>
              <w:right w:val="single" w:sz="4" w:space="0" w:color="auto"/>
            </w:tcBorders>
            <w:vAlign w:val="center"/>
            <w:hideMark/>
          </w:tcPr>
          <w:p w:rsidR="00F9470A" w:rsidRPr="00F9470A" w:rsidRDefault="00F9470A">
            <w:pPr>
              <w:rPr>
                <w:rFonts w:ascii="Arial" w:hAnsi="Arial" w:cs="Arial"/>
                <w:b/>
                <w:bCs/>
                <w:sz w:val="12"/>
                <w:szCs w:val="12"/>
              </w:rPr>
            </w:pPr>
          </w:p>
        </w:tc>
        <w:tc>
          <w:tcPr>
            <w:tcW w:w="747" w:type="dxa"/>
            <w:vMerge/>
            <w:tcBorders>
              <w:top w:val="single" w:sz="4" w:space="0" w:color="auto"/>
              <w:left w:val="single" w:sz="4" w:space="0" w:color="auto"/>
              <w:bottom w:val="single" w:sz="4" w:space="0" w:color="000000"/>
              <w:right w:val="single" w:sz="4" w:space="0" w:color="auto"/>
            </w:tcBorders>
            <w:vAlign w:val="center"/>
            <w:hideMark/>
          </w:tcPr>
          <w:p w:rsidR="00F9470A" w:rsidRPr="00F9470A" w:rsidRDefault="00F9470A">
            <w:pPr>
              <w:rPr>
                <w:rFonts w:ascii="Arial" w:hAnsi="Arial" w:cs="Arial"/>
                <w:b/>
                <w:bCs/>
                <w:sz w:val="12"/>
                <w:szCs w:val="12"/>
              </w:rPr>
            </w:pPr>
          </w:p>
        </w:tc>
        <w:tc>
          <w:tcPr>
            <w:tcW w:w="980" w:type="dxa"/>
            <w:gridSpan w:val="5"/>
            <w:tcBorders>
              <w:top w:val="nil"/>
              <w:left w:val="nil"/>
              <w:bottom w:val="nil"/>
              <w:right w:val="nil"/>
            </w:tcBorders>
            <w:shd w:val="clear" w:color="auto" w:fill="auto"/>
            <w:noWrap/>
            <w:vAlign w:val="bottom"/>
            <w:hideMark/>
          </w:tcPr>
          <w:p w:rsidR="00F9470A" w:rsidRPr="00F9470A" w:rsidRDefault="00F9470A">
            <w:pPr>
              <w:rPr>
                <w:rFonts w:ascii="Arial" w:hAnsi="Arial" w:cs="Arial"/>
                <w:b/>
                <w:bCs/>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78"/>
        </w:trPr>
        <w:tc>
          <w:tcPr>
            <w:tcW w:w="2408" w:type="dxa"/>
            <w:tcBorders>
              <w:top w:val="nil"/>
              <w:left w:val="single" w:sz="4" w:space="0" w:color="auto"/>
              <w:bottom w:val="nil"/>
              <w:right w:val="single" w:sz="4" w:space="0" w:color="auto"/>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Bank Interest/Investment/Grant Income</w:t>
            </w:r>
          </w:p>
        </w:tc>
        <w:tc>
          <w:tcPr>
            <w:tcW w:w="249" w:type="dxa"/>
            <w:tcBorders>
              <w:top w:val="nil"/>
              <w:left w:val="single" w:sz="4" w:space="0" w:color="auto"/>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250" w:type="dxa"/>
            <w:gridSpan w:val="2"/>
            <w:tcBorders>
              <w:top w:val="nil"/>
              <w:left w:val="nil"/>
              <w:bottom w:val="nil"/>
              <w:right w:val="nil"/>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978" w:type="dxa"/>
            <w:tcBorders>
              <w:top w:val="nil"/>
              <w:left w:val="single" w:sz="4" w:space="0" w:color="auto"/>
              <w:bottom w:val="nil"/>
              <w:right w:val="single" w:sz="4" w:space="0" w:color="auto"/>
            </w:tcBorders>
            <w:shd w:val="clear" w:color="000000" w:fill="FF99CC"/>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£18,999</w:t>
            </w:r>
          </w:p>
        </w:tc>
        <w:tc>
          <w:tcPr>
            <w:tcW w:w="648" w:type="dxa"/>
            <w:tcBorders>
              <w:top w:val="nil"/>
              <w:left w:val="nil"/>
              <w:bottom w:val="nil"/>
              <w:right w:val="nil"/>
            </w:tcBorders>
            <w:shd w:val="clear" w:color="000000" w:fill="FF99CC"/>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-92%</w:t>
            </w:r>
          </w:p>
        </w:tc>
        <w:tc>
          <w:tcPr>
            <w:tcW w:w="1134" w:type="dxa"/>
            <w:gridSpan w:val="2"/>
            <w:tcBorders>
              <w:top w:val="nil"/>
              <w:left w:val="single" w:sz="12" w:space="0" w:color="auto"/>
              <w:bottom w:val="nil"/>
              <w:right w:val="single" w:sz="4" w:space="0" w:color="auto"/>
            </w:tcBorders>
            <w:shd w:val="clear" w:color="000000" w:fill="FABF8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£12,852</w:t>
            </w:r>
          </w:p>
        </w:tc>
        <w:tc>
          <w:tcPr>
            <w:tcW w:w="637" w:type="dxa"/>
            <w:tcBorders>
              <w:top w:val="nil"/>
              <w:left w:val="nil"/>
              <w:bottom w:val="nil"/>
              <w:right w:val="single" w:sz="12" w:space="0" w:color="auto"/>
            </w:tcBorders>
            <w:shd w:val="clear" w:color="000000" w:fill="FABF8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-32%</w:t>
            </w:r>
          </w:p>
        </w:tc>
        <w:tc>
          <w:tcPr>
            <w:tcW w:w="1064" w:type="dxa"/>
            <w:gridSpan w:val="2"/>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£11,825</w:t>
            </w:r>
          </w:p>
        </w:tc>
        <w:tc>
          <w:tcPr>
            <w:tcW w:w="709" w:type="dxa"/>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-8%</w:t>
            </w:r>
          </w:p>
        </w:tc>
        <w:tc>
          <w:tcPr>
            <w:tcW w:w="884" w:type="dxa"/>
            <w:gridSpan w:val="2"/>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£5,912</w:t>
            </w:r>
          </w:p>
        </w:tc>
        <w:tc>
          <w:tcPr>
            <w:tcW w:w="675" w:type="dxa"/>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-50%</w:t>
            </w:r>
          </w:p>
        </w:tc>
        <w:tc>
          <w:tcPr>
            <w:tcW w:w="884" w:type="dxa"/>
            <w:gridSpan w:val="2"/>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£6,001</w:t>
            </w:r>
          </w:p>
        </w:tc>
        <w:tc>
          <w:tcPr>
            <w:tcW w:w="676" w:type="dxa"/>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w:t>
            </w:r>
          </w:p>
        </w:tc>
        <w:tc>
          <w:tcPr>
            <w:tcW w:w="992" w:type="dxa"/>
            <w:gridSpan w:val="2"/>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£6,091</w:t>
            </w:r>
          </w:p>
        </w:tc>
        <w:tc>
          <w:tcPr>
            <w:tcW w:w="637" w:type="dxa"/>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1%</w:t>
            </w:r>
          </w:p>
        </w:tc>
        <w:tc>
          <w:tcPr>
            <w:tcW w:w="884" w:type="dxa"/>
            <w:gridSpan w:val="2"/>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£6,182</w:t>
            </w:r>
          </w:p>
        </w:tc>
        <w:tc>
          <w:tcPr>
            <w:tcW w:w="747" w:type="dxa"/>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1%</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color w:val="000000"/>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68"/>
        </w:trPr>
        <w:tc>
          <w:tcPr>
            <w:tcW w:w="2408" w:type="dxa"/>
            <w:tcBorders>
              <w:top w:val="nil"/>
              <w:left w:val="single" w:sz="4" w:space="0" w:color="auto"/>
              <w:bottom w:val="nil"/>
              <w:right w:val="single" w:sz="4" w:space="0" w:color="auto"/>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Public Works Loan</w:t>
            </w:r>
          </w:p>
        </w:tc>
        <w:tc>
          <w:tcPr>
            <w:tcW w:w="249" w:type="dxa"/>
            <w:tcBorders>
              <w:top w:val="nil"/>
              <w:left w:val="single" w:sz="4" w:space="0" w:color="auto"/>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250" w:type="dxa"/>
            <w:gridSpan w:val="2"/>
            <w:tcBorders>
              <w:top w:val="nil"/>
              <w:left w:val="nil"/>
              <w:bottom w:val="nil"/>
              <w:right w:val="nil"/>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978" w:type="dxa"/>
            <w:tcBorders>
              <w:top w:val="nil"/>
              <w:left w:val="single" w:sz="4" w:space="0" w:color="auto"/>
              <w:bottom w:val="nil"/>
              <w:right w:val="single" w:sz="4" w:space="0" w:color="auto"/>
            </w:tcBorders>
            <w:shd w:val="clear" w:color="000000" w:fill="FF99CC"/>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£0</w:t>
            </w:r>
          </w:p>
        </w:tc>
        <w:tc>
          <w:tcPr>
            <w:tcW w:w="648" w:type="dxa"/>
            <w:tcBorders>
              <w:top w:val="nil"/>
              <w:left w:val="nil"/>
              <w:bottom w:val="nil"/>
              <w:right w:val="nil"/>
            </w:tcBorders>
            <w:shd w:val="clear" w:color="000000" w:fill="FF99CC"/>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1134" w:type="dxa"/>
            <w:gridSpan w:val="2"/>
            <w:tcBorders>
              <w:top w:val="nil"/>
              <w:left w:val="single" w:sz="12" w:space="0" w:color="auto"/>
              <w:bottom w:val="nil"/>
              <w:right w:val="single" w:sz="4" w:space="0" w:color="auto"/>
            </w:tcBorders>
            <w:shd w:val="clear" w:color="000000" w:fill="FABF8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£0</w:t>
            </w:r>
          </w:p>
        </w:tc>
        <w:tc>
          <w:tcPr>
            <w:tcW w:w="637" w:type="dxa"/>
            <w:tcBorders>
              <w:top w:val="nil"/>
              <w:left w:val="nil"/>
              <w:bottom w:val="nil"/>
              <w:right w:val="single" w:sz="12" w:space="0" w:color="auto"/>
            </w:tcBorders>
            <w:shd w:val="clear" w:color="000000" w:fill="FABF8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0%</w:t>
            </w:r>
          </w:p>
        </w:tc>
        <w:tc>
          <w:tcPr>
            <w:tcW w:w="1064" w:type="dxa"/>
            <w:gridSpan w:val="2"/>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£0</w:t>
            </w:r>
          </w:p>
        </w:tc>
        <w:tc>
          <w:tcPr>
            <w:tcW w:w="709" w:type="dxa"/>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0%</w:t>
            </w:r>
          </w:p>
        </w:tc>
        <w:tc>
          <w:tcPr>
            <w:tcW w:w="884" w:type="dxa"/>
            <w:gridSpan w:val="2"/>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£0</w:t>
            </w:r>
          </w:p>
        </w:tc>
        <w:tc>
          <w:tcPr>
            <w:tcW w:w="675" w:type="dxa"/>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0%</w:t>
            </w:r>
          </w:p>
        </w:tc>
        <w:tc>
          <w:tcPr>
            <w:tcW w:w="884" w:type="dxa"/>
            <w:gridSpan w:val="2"/>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£0</w:t>
            </w:r>
          </w:p>
        </w:tc>
        <w:tc>
          <w:tcPr>
            <w:tcW w:w="676" w:type="dxa"/>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0%</w:t>
            </w:r>
          </w:p>
        </w:tc>
        <w:tc>
          <w:tcPr>
            <w:tcW w:w="992" w:type="dxa"/>
            <w:gridSpan w:val="2"/>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£0</w:t>
            </w:r>
          </w:p>
        </w:tc>
        <w:tc>
          <w:tcPr>
            <w:tcW w:w="637" w:type="dxa"/>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884" w:type="dxa"/>
            <w:gridSpan w:val="2"/>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£0</w:t>
            </w:r>
          </w:p>
        </w:tc>
        <w:tc>
          <w:tcPr>
            <w:tcW w:w="747" w:type="dxa"/>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color w:val="000000"/>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99"/>
        </w:trPr>
        <w:tc>
          <w:tcPr>
            <w:tcW w:w="2408" w:type="dxa"/>
            <w:tcBorders>
              <w:top w:val="nil"/>
              <w:left w:val="single" w:sz="4" w:space="0" w:color="auto"/>
              <w:bottom w:val="nil"/>
              <w:right w:val="single" w:sz="4" w:space="0" w:color="auto"/>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Activity Centres Income</w:t>
            </w:r>
          </w:p>
        </w:tc>
        <w:tc>
          <w:tcPr>
            <w:tcW w:w="249" w:type="dxa"/>
            <w:tcBorders>
              <w:top w:val="nil"/>
              <w:left w:val="single" w:sz="4" w:space="0" w:color="auto"/>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250" w:type="dxa"/>
            <w:gridSpan w:val="2"/>
            <w:tcBorders>
              <w:top w:val="nil"/>
              <w:left w:val="nil"/>
              <w:bottom w:val="nil"/>
              <w:right w:val="nil"/>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978" w:type="dxa"/>
            <w:tcBorders>
              <w:top w:val="nil"/>
              <w:left w:val="single" w:sz="4" w:space="0" w:color="auto"/>
              <w:bottom w:val="nil"/>
              <w:right w:val="single" w:sz="4" w:space="0" w:color="auto"/>
            </w:tcBorders>
            <w:shd w:val="clear" w:color="000000" w:fill="FF99CC"/>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£130,530</w:t>
            </w:r>
          </w:p>
        </w:tc>
        <w:tc>
          <w:tcPr>
            <w:tcW w:w="648" w:type="dxa"/>
            <w:tcBorders>
              <w:top w:val="nil"/>
              <w:left w:val="nil"/>
              <w:bottom w:val="nil"/>
              <w:right w:val="nil"/>
            </w:tcBorders>
            <w:shd w:val="clear" w:color="000000" w:fill="FF99CC"/>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1%</w:t>
            </w:r>
          </w:p>
        </w:tc>
        <w:tc>
          <w:tcPr>
            <w:tcW w:w="1134" w:type="dxa"/>
            <w:gridSpan w:val="2"/>
            <w:tcBorders>
              <w:top w:val="nil"/>
              <w:left w:val="single" w:sz="12" w:space="0" w:color="auto"/>
              <w:bottom w:val="nil"/>
              <w:right w:val="single" w:sz="4" w:space="0" w:color="auto"/>
            </w:tcBorders>
            <w:shd w:val="clear" w:color="000000" w:fill="FABF8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£131,424</w:t>
            </w:r>
          </w:p>
        </w:tc>
        <w:tc>
          <w:tcPr>
            <w:tcW w:w="637" w:type="dxa"/>
            <w:tcBorders>
              <w:top w:val="nil"/>
              <w:left w:val="nil"/>
              <w:bottom w:val="nil"/>
              <w:right w:val="single" w:sz="12" w:space="0" w:color="auto"/>
            </w:tcBorders>
            <w:shd w:val="clear" w:color="000000" w:fill="FABF8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w:t>
            </w:r>
          </w:p>
        </w:tc>
        <w:tc>
          <w:tcPr>
            <w:tcW w:w="1064" w:type="dxa"/>
            <w:gridSpan w:val="2"/>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£133,250</w:t>
            </w:r>
          </w:p>
        </w:tc>
        <w:tc>
          <w:tcPr>
            <w:tcW w:w="709" w:type="dxa"/>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w:t>
            </w:r>
          </w:p>
        </w:tc>
        <w:tc>
          <w:tcPr>
            <w:tcW w:w="884" w:type="dxa"/>
            <w:gridSpan w:val="2"/>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£136,581</w:t>
            </w:r>
          </w:p>
        </w:tc>
        <w:tc>
          <w:tcPr>
            <w:tcW w:w="675" w:type="dxa"/>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3%</w:t>
            </w:r>
          </w:p>
        </w:tc>
        <w:tc>
          <w:tcPr>
            <w:tcW w:w="884" w:type="dxa"/>
            <w:gridSpan w:val="2"/>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£139,996</w:t>
            </w:r>
          </w:p>
        </w:tc>
        <w:tc>
          <w:tcPr>
            <w:tcW w:w="676" w:type="dxa"/>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3%</w:t>
            </w:r>
          </w:p>
        </w:tc>
        <w:tc>
          <w:tcPr>
            <w:tcW w:w="992" w:type="dxa"/>
            <w:gridSpan w:val="2"/>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£143,496</w:t>
            </w:r>
          </w:p>
        </w:tc>
        <w:tc>
          <w:tcPr>
            <w:tcW w:w="637" w:type="dxa"/>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2%</w:t>
            </w:r>
          </w:p>
        </w:tc>
        <w:tc>
          <w:tcPr>
            <w:tcW w:w="884" w:type="dxa"/>
            <w:gridSpan w:val="2"/>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£147,083</w:t>
            </w:r>
          </w:p>
        </w:tc>
        <w:tc>
          <w:tcPr>
            <w:tcW w:w="747" w:type="dxa"/>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2%</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color w:val="000000"/>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68"/>
        </w:trPr>
        <w:tc>
          <w:tcPr>
            <w:tcW w:w="2408" w:type="dxa"/>
            <w:tcBorders>
              <w:top w:val="nil"/>
              <w:left w:val="single" w:sz="4" w:space="0" w:color="auto"/>
              <w:bottom w:val="nil"/>
              <w:right w:val="single" w:sz="4" w:space="0" w:color="auto"/>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Training &amp; Other Income</w:t>
            </w:r>
          </w:p>
        </w:tc>
        <w:tc>
          <w:tcPr>
            <w:tcW w:w="249" w:type="dxa"/>
            <w:tcBorders>
              <w:top w:val="nil"/>
              <w:left w:val="single" w:sz="4" w:space="0" w:color="auto"/>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250" w:type="dxa"/>
            <w:gridSpan w:val="2"/>
            <w:tcBorders>
              <w:top w:val="nil"/>
              <w:left w:val="nil"/>
              <w:bottom w:val="nil"/>
              <w:right w:val="nil"/>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978" w:type="dxa"/>
            <w:tcBorders>
              <w:top w:val="nil"/>
              <w:left w:val="single" w:sz="4" w:space="0" w:color="auto"/>
              <w:bottom w:val="nil"/>
              <w:right w:val="single" w:sz="4" w:space="0" w:color="auto"/>
            </w:tcBorders>
            <w:shd w:val="clear" w:color="000000" w:fill="FF99CC"/>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£1,207</w:t>
            </w:r>
          </w:p>
        </w:tc>
        <w:tc>
          <w:tcPr>
            <w:tcW w:w="648" w:type="dxa"/>
            <w:tcBorders>
              <w:top w:val="nil"/>
              <w:left w:val="nil"/>
              <w:bottom w:val="nil"/>
              <w:right w:val="nil"/>
            </w:tcBorders>
            <w:shd w:val="clear" w:color="000000" w:fill="FF99CC"/>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-30%</w:t>
            </w:r>
          </w:p>
        </w:tc>
        <w:tc>
          <w:tcPr>
            <w:tcW w:w="1134" w:type="dxa"/>
            <w:gridSpan w:val="2"/>
            <w:tcBorders>
              <w:top w:val="nil"/>
              <w:left w:val="single" w:sz="12" w:space="0" w:color="auto"/>
              <w:bottom w:val="nil"/>
              <w:right w:val="single" w:sz="4" w:space="0" w:color="auto"/>
            </w:tcBorders>
            <w:shd w:val="clear" w:color="000000" w:fill="FABF8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£5,386</w:t>
            </w:r>
          </w:p>
        </w:tc>
        <w:tc>
          <w:tcPr>
            <w:tcW w:w="637" w:type="dxa"/>
            <w:tcBorders>
              <w:top w:val="nil"/>
              <w:left w:val="nil"/>
              <w:bottom w:val="nil"/>
              <w:right w:val="single" w:sz="12" w:space="0" w:color="auto"/>
            </w:tcBorders>
            <w:shd w:val="clear" w:color="000000" w:fill="FABF8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346%</w:t>
            </w:r>
          </w:p>
        </w:tc>
        <w:tc>
          <w:tcPr>
            <w:tcW w:w="1064" w:type="dxa"/>
            <w:gridSpan w:val="2"/>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£358</w:t>
            </w:r>
          </w:p>
        </w:tc>
        <w:tc>
          <w:tcPr>
            <w:tcW w:w="709" w:type="dxa"/>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-93%</w:t>
            </w:r>
          </w:p>
        </w:tc>
        <w:tc>
          <w:tcPr>
            <w:tcW w:w="884" w:type="dxa"/>
            <w:gridSpan w:val="2"/>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£270</w:t>
            </w:r>
          </w:p>
        </w:tc>
        <w:tc>
          <w:tcPr>
            <w:tcW w:w="675" w:type="dxa"/>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-25%</w:t>
            </w:r>
          </w:p>
        </w:tc>
        <w:tc>
          <w:tcPr>
            <w:tcW w:w="884" w:type="dxa"/>
            <w:gridSpan w:val="2"/>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£270</w:t>
            </w:r>
          </w:p>
        </w:tc>
        <w:tc>
          <w:tcPr>
            <w:tcW w:w="676" w:type="dxa"/>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0%</w:t>
            </w:r>
          </w:p>
        </w:tc>
        <w:tc>
          <w:tcPr>
            <w:tcW w:w="992" w:type="dxa"/>
            <w:gridSpan w:val="2"/>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£270</w:t>
            </w:r>
          </w:p>
        </w:tc>
        <w:tc>
          <w:tcPr>
            <w:tcW w:w="637" w:type="dxa"/>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884" w:type="dxa"/>
            <w:gridSpan w:val="2"/>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£270</w:t>
            </w:r>
          </w:p>
        </w:tc>
        <w:tc>
          <w:tcPr>
            <w:tcW w:w="747" w:type="dxa"/>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color w:val="000000"/>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38"/>
        </w:trPr>
        <w:tc>
          <w:tcPr>
            <w:tcW w:w="2408"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F9470A" w:rsidRPr="00F9470A" w:rsidRDefault="00F9470A">
            <w:pPr>
              <w:rPr>
                <w:rFonts w:ascii="Arial" w:hAnsi="Arial" w:cs="Arial"/>
                <w:b/>
                <w:bCs/>
                <w:sz w:val="12"/>
                <w:szCs w:val="12"/>
              </w:rPr>
            </w:pPr>
            <w:r w:rsidRPr="00F9470A">
              <w:rPr>
                <w:rFonts w:ascii="Arial" w:hAnsi="Arial" w:cs="Arial"/>
                <w:b/>
                <w:bCs/>
                <w:sz w:val="12"/>
                <w:szCs w:val="12"/>
              </w:rPr>
              <w:t>Total Income (exc. precept etc)</w:t>
            </w:r>
          </w:p>
        </w:tc>
        <w:tc>
          <w:tcPr>
            <w:tcW w:w="249" w:type="dxa"/>
            <w:tcBorders>
              <w:top w:val="single" w:sz="8" w:space="0" w:color="auto"/>
              <w:left w:val="single" w:sz="4" w:space="0" w:color="auto"/>
              <w:bottom w:val="single" w:sz="8" w:space="0" w:color="auto"/>
              <w:right w:val="single" w:sz="4" w:space="0" w:color="auto"/>
            </w:tcBorders>
            <w:shd w:val="clear" w:color="000000" w:fill="FFFF99"/>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 </w:t>
            </w:r>
          </w:p>
        </w:tc>
        <w:tc>
          <w:tcPr>
            <w:tcW w:w="250" w:type="dxa"/>
            <w:gridSpan w:val="2"/>
            <w:tcBorders>
              <w:top w:val="single" w:sz="8" w:space="0" w:color="auto"/>
              <w:left w:val="nil"/>
              <w:bottom w:val="single" w:sz="8" w:space="0" w:color="auto"/>
              <w:right w:val="nil"/>
            </w:tcBorders>
            <w:shd w:val="clear" w:color="000000" w:fill="FFFF99"/>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 </w:t>
            </w:r>
          </w:p>
        </w:tc>
        <w:tc>
          <w:tcPr>
            <w:tcW w:w="978" w:type="dxa"/>
            <w:tcBorders>
              <w:top w:val="single" w:sz="8" w:space="0" w:color="auto"/>
              <w:left w:val="single" w:sz="4" w:space="0" w:color="auto"/>
              <w:bottom w:val="single" w:sz="8" w:space="0" w:color="auto"/>
              <w:right w:val="single" w:sz="4" w:space="0" w:color="auto"/>
            </w:tcBorders>
            <w:shd w:val="clear" w:color="000000" w:fill="FF99CC"/>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£150,735</w:t>
            </w:r>
          </w:p>
        </w:tc>
        <w:tc>
          <w:tcPr>
            <w:tcW w:w="648" w:type="dxa"/>
            <w:tcBorders>
              <w:top w:val="single" w:sz="8" w:space="0" w:color="auto"/>
              <w:left w:val="nil"/>
              <w:bottom w:val="single" w:sz="8" w:space="0" w:color="auto"/>
              <w:right w:val="nil"/>
            </w:tcBorders>
            <w:shd w:val="clear" w:color="000000" w:fill="FF99CC"/>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-60%</w:t>
            </w:r>
          </w:p>
        </w:tc>
        <w:tc>
          <w:tcPr>
            <w:tcW w:w="1134" w:type="dxa"/>
            <w:gridSpan w:val="2"/>
            <w:tcBorders>
              <w:top w:val="single" w:sz="8" w:space="0" w:color="auto"/>
              <w:left w:val="single" w:sz="12" w:space="0" w:color="auto"/>
              <w:bottom w:val="single" w:sz="8" w:space="0" w:color="auto"/>
              <w:right w:val="single" w:sz="4" w:space="0" w:color="auto"/>
            </w:tcBorders>
            <w:shd w:val="clear" w:color="000000" w:fill="FABF8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£149,662</w:t>
            </w:r>
          </w:p>
        </w:tc>
        <w:tc>
          <w:tcPr>
            <w:tcW w:w="637" w:type="dxa"/>
            <w:tcBorders>
              <w:top w:val="single" w:sz="8" w:space="0" w:color="auto"/>
              <w:left w:val="nil"/>
              <w:bottom w:val="single" w:sz="8" w:space="0" w:color="auto"/>
              <w:right w:val="single" w:sz="12" w:space="0" w:color="auto"/>
            </w:tcBorders>
            <w:shd w:val="clear" w:color="000000" w:fill="FABF8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w:t>
            </w:r>
          </w:p>
        </w:tc>
        <w:tc>
          <w:tcPr>
            <w:tcW w:w="1064" w:type="dxa"/>
            <w:gridSpan w:val="2"/>
            <w:tcBorders>
              <w:top w:val="single" w:sz="8" w:space="0" w:color="auto"/>
              <w:left w:val="nil"/>
              <w:bottom w:val="single" w:sz="8" w:space="0" w:color="auto"/>
              <w:right w:val="single" w:sz="4" w:space="0" w:color="auto"/>
            </w:tcBorders>
            <w:shd w:val="clear" w:color="000000" w:fill="FFFF00"/>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£145,433</w:t>
            </w:r>
          </w:p>
        </w:tc>
        <w:tc>
          <w:tcPr>
            <w:tcW w:w="709" w:type="dxa"/>
            <w:tcBorders>
              <w:top w:val="single" w:sz="8" w:space="0" w:color="auto"/>
              <w:left w:val="nil"/>
              <w:bottom w:val="single" w:sz="8" w:space="0" w:color="auto"/>
              <w:right w:val="single" w:sz="4" w:space="0" w:color="auto"/>
            </w:tcBorders>
            <w:shd w:val="clear" w:color="000000" w:fill="FFFF00"/>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-3%</w:t>
            </w:r>
          </w:p>
        </w:tc>
        <w:tc>
          <w:tcPr>
            <w:tcW w:w="884" w:type="dxa"/>
            <w:gridSpan w:val="2"/>
            <w:tcBorders>
              <w:top w:val="single" w:sz="8" w:space="0" w:color="auto"/>
              <w:left w:val="nil"/>
              <w:bottom w:val="single" w:sz="8" w:space="0" w:color="auto"/>
              <w:right w:val="single" w:sz="4" w:space="0" w:color="auto"/>
            </w:tcBorders>
            <w:shd w:val="clear" w:color="000000" w:fill="CC99F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£142,764</w:t>
            </w:r>
          </w:p>
        </w:tc>
        <w:tc>
          <w:tcPr>
            <w:tcW w:w="675" w:type="dxa"/>
            <w:tcBorders>
              <w:top w:val="single" w:sz="8" w:space="0" w:color="auto"/>
              <w:left w:val="nil"/>
              <w:bottom w:val="single" w:sz="8" w:space="0" w:color="auto"/>
              <w:right w:val="single" w:sz="4" w:space="0" w:color="auto"/>
            </w:tcBorders>
            <w:shd w:val="clear" w:color="000000" w:fill="CC99F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-2%</w:t>
            </w:r>
          </w:p>
        </w:tc>
        <w:tc>
          <w:tcPr>
            <w:tcW w:w="884" w:type="dxa"/>
            <w:gridSpan w:val="2"/>
            <w:tcBorders>
              <w:top w:val="single" w:sz="8" w:space="0" w:color="auto"/>
              <w:left w:val="nil"/>
              <w:bottom w:val="single" w:sz="8" w:space="0" w:color="auto"/>
              <w:right w:val="single" w:sz="4" w:space="0" w:color="auto"/>
            </w:tcBorders>
            <w:shd w:val="clear" w:color="000000" w:fill="C4D79B"/>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£146,267</w:t>
            </w:r>
          </w:p>
        </w:tc>
        <w:tc>
          <w:tcPr>
            <w:tcW w:w="676" w:type="dxa"/>
            <w:tcBorders>
              <w:top w:val="single" w:sz="8" w:space="0" w:color="auto"/>
              <w:left w:val="nil"/>
              <w:bottom w:val="single" w:sz="8" w:space="0" w:color="auto"/>
              <w:right w:val="single" w:sz="4" w:space="0" w:color="auto"/>
            </w:tcBorders>
            <w:shd w:val="clear" w:color="000000" w:fill="C4D79B"/>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2%</w:t>
            </w:r>
          </w:p>
        </w:tc>
        <w:tc>
          <w:tcPr>
            <w:tcW w:w="992" w:type="dxa"/>
            <w:gridSpan w:val="2"/>
            <w:tcBorders>
              <w:top w:val="single" w:sz="12" w:space="0" w:color="auto"/>
              <w:left w:val="nil"/>
              <w:bottom w:val="single" w:sz="12" w:space="0" w:color="auto"/>
              <w:right w:val="single" w:sz="4" w:space="0" w:color="auto"/>
            </w:tcBorders>
            <w:shd w:val="clear" w:color="000000" w:fill="B8CCE4"/>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£149,857</w:t>
            </w:r>
          </w:p>
        </w:tc>
        <w:tc>
          <w:tcPr>
            <w:tcW w:w="637" w:type="dxa"/>
            <w:tcBorders>
              <w:top w:val="single" w:sz="8" w:space="0" w:color="auto"/>
              <w:left w:val="nil"/>
              <w:bottom w:val="single" w:sz="8" w:space="0" w:color="auto"/>
              <w:right w:val="single" w:sz="4" w:space="0" w:color="auto"/>
            </w:tcBorders>
            <w:shd w:val="clear" w:color="000000" w:fill="B8CCE4"/>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2%</w:t>
            </w:r>
          </w:p>
        </w:tc>
        <w:tc>
          <w:tcPr>
            <w:tcW w:w="884" w:type="dxa"/>
            <w:gridSpan w:val="2"/>
            <w:tcBorders>
              <w:top w:val="single" w:sz="12" w:space="0" w:color="auto"/>
              <w:left w:val="nil"/>
              <w:bottom w:val="single" w:sz="12" w:space="0" w:color="auto"/>
              <w:right w:val="single" w:sz="4" w:space="0" w:color="auto"/>
            </w:tcBorders>
            <w:shd w:val="clear" w:color="000000" w:fill="FFFF99"/>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£153,536</w:t>
            </w:r>
          </w:p>
        </w:tc>
        <w:tc>
          <w:tcPr>
            <w:tcW w:w="747" w:type="dxa"/>
            <w:tcBorders>
              <w:top w:val="single" w:sz="8" w:space="0" w:color="auto"/>
              <w:left w:val="nil"/>
              <w:bottom w:val="single" w:sz="8" w:space="0" w:color="auto"/>
              <w:right w:val="single" w:sz="4" w:space="0" w:color="auto"/>
            </w:tcBorders>
            <w:shd w:val="clear" w:color="000000" w:fill="FFFF99"/>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2%</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b/>
                <w:bCs/>
                <w:color w:val="000000"/>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45"/>
        </w:trPr>
        <w:tc>
          <w:tcPr>
            <w:tcW w:w="2408" w:type="dxa"/>
            <w:tcBorders>
              <w:top w:val="nil"/>
              <w:left w:val="single" w:sz="4" w:space="0" w:color="auto"/>
              <w:bottom w:val="single" w:sz="4" w:space="0" w:color="auto"/>
              <w:right w:val="single" w:sz="4" w:space="0" w:color="auto"/>
            </w:tcBorders>
            <w:shd w:val="clear" w:color="auto" w:fill="auto"/>
            <w:noWrap/>
            <w:vAlign w:val="bottom"/>
            <w:hideMark/>
          </w:tcPr>
          <w:p w:rsidR="00F9470A" w:rsidRPr="00F9470A" w:rsidRDefault="00F9470A">
            <w:pPr>
              <w:rPr>
                <w:rFonts w:ascii="Arial" w:hAnsi="Arial" w:cs="Arial"/>
                <w:b/>
                <w:bCs/>
                <w:sz w:val="12"/>
                <w:szCs w:val="12"/>
              </w:rPr>
            </w:pPr>
            <w:r w:rsidRPr="00F9470A">
              <w:rPr>
                <w:rFonts w:ascii="Arial" w:hAnsi="Arial" w:cs="Arial"/>
                <w:b/>
                <w:bCs/>
                <w:sz w:val="12"/>
                <w:szCs w:val="12"/>
              </w:rPr>
              <w:t>EXPENDITURE</w:t>
            </w:r>
          </w:p>
        </w:tc>
        <w:tc>
          <w:tcPr>
            <w:tcW w:w="249" w:type="dxa"/>
            <w:tcBorders>
              <w:top w:val="nil"/>
              <w:left w:val="single" w:sz="4" w:space="0" w:color="auto"/>
              <w:bottom w:val="single" w:sz="4" w:space="0" w:color="auto"/>
              <w:right w:val="nil"/>
            </w:tcBorders>
            <w:shd w:val="clear" w:color="000000" w:fill="FFFFFF"/>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250" w:type="dxa"/>
            <w:gridSpan w:val="2"/>
            <w:tcBorders>
              <w:top w:val="nil"/>
              <w:left w:val="nil"/>
              <w:bottom w:val="single" w:sz="4" w:space="0" w:color="auto"/>
              <w:right w:val="nil"/>
            </w:tcBorders>
            <w:shd w:val="clear" w:color="000000" w:fill="FFFFFF"/>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978" w:type="dxa"/>
            <w:tcBorders>
              <w:top w:val="nil"/>
              <w:left w:val="nil"/>
              <w:bottom w:val="single" w:sz="4" w:space="0" w:color="auto"/>
              <w:right w:val="nil"/>
            </w:tcBorders>
            <w:shd w:val="clear" w:color="000000" w:fill="FFFFFF"/>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648" w:type="dxa"/>
            <w:tcBorders>
              <w:top w:val="nil"/>
              <w:left w:val="nil"/>
              <w:bottom w:val="single" w:sz="4" w:space="0" w:color="auto"/>
              <w:right w:val="nil"/>
            </w:tcBorders>
            <w:shd w:val="clear" w:color="000000" w:fill="FFFFFF"/>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1134" w:type="dxa"/>
            <w:gridSpan w:val="2"/>
            <w:tcBorders>
              <w:top w:val="nil"/>
              <w:left w:val="single" w:sz="12" w:space="0" w:color="auto"/>
              <w:bottom w:val="single" w:sz="4" w:space="0" w:color="auto"/>
              <w:right w:val="nil"/>
            </w:tcBorders>
            <w:shd w:val="clear" w:color="000000" w:fill="FFFFFF"/>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637" w:type="dxa"/>
            <w:tcBorders>
              <w:top w:val="nil"/>
              <w:left w:val="nil"/>
              <w:bottom w:val="single" w:sz="4" w:space="0" w:color="auto"/>
              <w:right w:val="single" w:sz="12" w:space="0" w:color="auto"/>
            </w:tcBorders>
            <w:shd w:val="clear" w:color="000000" w:fill="FFFFFF"/>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1064" w:type="dxa"/>
            <w:gridSpan w:val="2"/>
            <w:tcBorders>
              <w:top w:val="nil"/>
              <w:left w:val="nil"/>
              <w:bottom w:val="single" w:sz="4" w:space="0" w:color="auto"/>
              <w:right w:val="nil"/>
            </w:tcBorders>
            <w:shd w:val="clear" w:color="000000" w:fill="FFFFFF"/>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709" w:type="dxa"/>
            <w:tcBorders>
              <w:top w:val="nil"/>
              <w:left w:val="nil"/>
              <w:bottom w:val="single" w:sz="4" w:space="0" w:color="auto"/>
              <w:right w:val="nil"/>
            </w:tcBorders>
            <w:shd w:val="clear" w:color="000000" w:fill="FFFFFF"/>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nil"/>
              <w:left w:val="nil"/>
              <w:bottom w:val="single" w:sz="4" w:space="0" w:color="auto"/>
              <w:right w:val="nil"/>
            </w:tcBorders>
            <w:shd w:val="clear" w:color="000000" w:fill="FFFFFF"/>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675" w:type="dxa"/>
            <w:tcBorders>
              <w:top w:val="nil"/>
              <w:left w:val="nil"/>
              <w:bottom w:val="single" w:sz="4" w:space="0" w:color="auto"/>
              <w:right w:val="nil"/>
            </w:tcBorders>
            <w:shd w:val="clear" w:color="000000" w:fill="FFFFFF"/>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nil"/>
              <w:left w:val="nil"/>
              <w:bottom w:val="single" w:sz="4" w:space="0" w:color="auto"/>
              <w:right w:val="nil"/>
            </w:tcBorders>
            <w:shd w:val="clear" w:color="000000" w:fill="FFFFFF"/>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676" w:type="dxa"/>
            <w:tcBorders>
              <w:top w:val="nil"/>
              <w:left w:val="nil"/>
              <w:bottom w:val="single" w:sz="4" w:space="0" w:color="auto"/>
              <w:right w:val="nil"/>
            </w:tcBorders>
            <w:shd w:val="clear" w:color="000000" w:fill="FFFFFF"/>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992" w:type="dxa"/>
            <w:gridSpan w:val="2"/>
            <w:tcBorders>
              <w:top w:val="nil"/>
              <w:left w:val="single" w:sz="4" w:space="0" w:color="auto"/>
              <w:bottom w:val="single" w:sz="4" w:space="0" w:color="auto"/>
              <w:right w:val="nil"/>
            </w:tcBorders>
            <w:shd w:val="clear" w:color="000000" w:fill="FFFFFF"/>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637" w:type="dxa"/>
            <w:tcBorders>
              <w:top w:val="nil"/>
              <w:left w:val="nil"/>
              <w:bottom w:val="single" w:sz="4" w:space="0" w:color="auto"/>
              <w:right w:val="single" w:sz="4" w:space="0" w:color="auto"/>
            </w:tcBorders>
            <w:shd w:val="clear" w:color="000000" w:fill="FFFFFF"/>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nil"/>
              <w:left w:val="nil"/>
              <w:bottom w:val="single" w:sz="4" w:space="0" w:color="auto"/>
              <w:right w:val="nil"/>
            </w:tcBorders>
            <w:shd w:val="clear" w:color="000000" w:fill="FFFFFF"/>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747" w:type="dxa"/>
            <w:tcBorders>
              <w:top w:val="nil"/>
              <w:left w:val="nil"/>
              <w:bottom w:val="single" w:sz="4" w:space="0" w:color="auto"/>
              <w:right w:val="single" w:sz="4" w:space="0" w:color="auto"/>
            </w:tcBorders>
            <w:shd w:val="clear" w:color="000000" w:fill="FFFFFF"/>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58"/>
        </w:trPr>
        <w:tc>
          <w:tcPr>
            <w:tcW w:w="2408" w:type="dxa"/>
            <w:tcBorders>
              <w:top w:val="nil"/>
              <w:left w:val="single" w:sz="4" w:space="0" w:color="auto"/>
              <w:bottom w:val="nil"/>
              <w:right w:val="single" w:sz="4" w:space="0" w:color="auto"/>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 xml:space="preserve">Non Activity Centre Costs </w:t>
            </w:r>
          </w:p>
        </w:tc>
        <w:tc>
          <w:tcPr>
            <w:tcW w:w="249" w:type="dxa"/>
            <w:tcBorders>
              <w:top w:val="nil"/>
              <w:left w:val="single" w:sz="4" w:space="0" w:color="auto"/>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250" w:type="dxa"/>
            <w:gridSpan w:val="2"/>
            <w:tcBorders>
              <w:top w:val="nil"/>
              <w:left w:val="nil"/>
              <w:bottom w:val="nil"/>
              <w:right w:val="nil"/>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978" w:type="dxa"/>
            <w:tcBorders>
              <w:top w:val="nil"/>
              <w:left w:val="single" w:sz="4" w:space="0" w:color="auto"/>
              <w:bottom w:val="nil"/>
              <w:right w:val="single" w:sz="4" w:space="0" w:color="auto"/>
            </w:tcBorders>
            <w:shd w:val="clear" w:color="000000" w:fill="FF99CC"/>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£541,805</w:t>
            </w:r>
          </w:p>
        </w:tc>
        <w:tc>
          <w:tcPr>
            <w:tcW w:w="648" w:type="dxa"/>
            <w:tcBorders>
              <w:top w:val="nil"/>
              <w:left w:val="nil"/>
              <w:bottom w:val="nil"/>
              <w:right w:val="nil"/>
            </w:tcBorders>
            <w:shd w:val="clear" w:color="000000" w:fill="FF99CC"/>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-1%</w:t>
            </w:r>
          </w:p>
        </w:tc>
        <w:tc>
          <w:tcPr>
            <w:tcW w:w="1134" w:type="dxa"/>
            <w:gridSpan w:val="2"/>
            <w:tcBorders>
              <w:top w:val="nil"/>
              <w:left w:val="single" w:sz="12" w:space="0" w:color="auto"/>
              <w:bottom w:val="nil"/>
              <w:right w:val="single" w:sz="4" w:space="0" w:color="auto"/>
            </w:tcBorders>
            <w:shd w:val="clear" w:color="000000" w:fill="FABF8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£564,650</w:t>
            </w:r>
          </w:p>
        </w:tc>
        <w:tc>
          <w:tcPr>
            <w:tcW w:w="637" w:type="dxa"/>
            <w:tcBorders>
              <w:top w:val="nil"/>
              <w:left w:val="nil"/>
              <w:bottom w:val="nil"/>
              <w:right w:val="single" w:sz="12" w:space="0" w:color="auto"/>
            </w:tcBorders>
            <w:shd w:val="clear" w:color="000000" w:fill="FABF8F"/>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4%</w:t>
            </w:r>
          </w:p>
        </w:tc>
        <w:tc>
          <w:tcPr>
            <w:tcW w:w="1064" w:type="dxa"/>
            <w:gridSpan w:val="2"/>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£676,024</w:t>
            </w:r>
          </w:p>
        </w:tc>
        <w:tc>
          <w:tcPr>
            <w:tcW w:w="709" w:type="dxa"/>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20%</w:t>
            </w:r>
          </w:p>
        </w:tc>
        <w:tc>
          <w:tcPr>
            <w:tcW w:w="884" w:type="dxa"/>
            <w:gridSpan w:val="2"/>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£676,760</w:t>
            </w:r>
          </w:p>
        </w:tc>
        <w:tc>
          <w:tcPr>
            <w:tcW w:w="675" w:type="dxa"/>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884" w:type="dxa"/>
            <w:gridSpan w:val="2"/>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£694,128</w:t>
            </w:r>
          </w:p>
        </w:tc>
        <w:tc>
          <w:tcPr>
            <w:tcW w:w="676" w:type="dxa"/>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3%</w:t>
            </w:r>
          </w:p>
        </w:tc>
        <w:tc>
          <w:tcPr>
            <w:tcW w:w="992" w:type="dxa"/>
            <w:gridSpan w:val="2"/>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£710,718</w:t>
            </w:r>
          </w:p>
        </w:tc>
        <w:tc>
          <w:tcPr>
            <w:tcW w:w="637" w:type="dxa"/>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2%</w:t>
            </w:r>
          </w:p>
        </w:tc>
        <w:tc>
          <w:tcPr>
            <w:tcW w:w="884" w:type="dxa"/>
            <w:gridSpan w:val="2"/>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£704,109</w:t>
            </w:r>
          </w:p>
        </w:tc>
        <w:tc>
          <w:tcPr>
            <w:tcW w:w="747" w:type="dxa"/>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-1%</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color w:val="000000"/>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68"/>
        </w:trPr>
        <w:tc>
          <w:tcPr>
            <w:tcW w:w="2408" w:type="dxa"/>
            <w:tcBorders>
              <w:top w:val="nil"/>
              <w:left w:val="single" w:sz="4" w:space="0" w:color="auto"/>
              <w:bottom w:val="nil"/>
              <w:right w:val="single" w:sz="4" w:space="0" w:color="auto"/>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Community/ Firework Events</w:t>
            </w:r>
          </w:p>
        </w:tc>
        <w:tc>
          <w:tcPr>
            <w:tcW w:w="249" w:type="dxa"/>
            <w:tcBorders>
              <w:top w:val="nil"/>
              <w:left w:val="single" w:sz="4" w:space="0" w:color="auto"/>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250" w:type="dxa"/>
            <w:gridSpan w:val="2"/>
            <w:tcBorders>
              <w:top w:val="nil"/>
              <w:left w:val="nil"/>
              <w:bottom w:val="nil"/>
              <w:right w:val="nil"/>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978" w:type="dxa"/>
            <w:tcBorders>
              <w:top w:val="nil"/>
              <w:left w:val="single" w:sz="4" w:space="0" w:color="auto"/>
              <w:bottom w:val="nil"/>
              <w:right w:val="single" w:sz="4" w:space="0" w:color="auto"/>
            </w:tcBorders>
            <w:shd w:val="clear" w:color="000000" w:fill="FF99CC"/>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£28,756</w:t>
            </w:r>
          </w:p>
        </w:tc>
        <w:tc>
          <w:tcPr>
            <w:tcW w:w="648" w:type="dxa"/>
            <w:tcBorders>
              <w:top w:val="nil"/>
              <w:left w:val="nil"/>
              <w:bottom w:val="nil"/>
              <w:right w:val="nil"/>
            </w:tcBorders>
            <w:shd w:val="clear" w:color="000000" w:fill="FF99CC"/>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-1%</w:t>
            </w:r>
          </w:p>
        </w:tc>
        <w:tc>
          <w:tcPr>
            <w:tcW w:w="1134" w:type="dxa"/>
            <w:gridSpan w:val="2"/>
            <w:tcBorders>
              <w:top w:val="nil"/>
              <w:left w:val="single" w:sz="12" w:space="0" w:color="auto"/>
              <w:bottom w:val="nil"/>
              <w:right w:val="single" w:sz="4" w:space="0" w:color="auto"/>
            </w:tcBorders>
            <w:shd w:val="clear" w:color="000000" w:fill="FABF8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£33,391</w:t>
            </w:r>
          </w:p>
        </w:tc>
        <w:tc>
          <w:tcPr>
            <w:tcW w:w="637" w:type="dxa"/>
            <w:tcBorders>
              <w:top w:val="nil"/>
              <w:left w:val="nil"/>
              <w:bottom w:val="nil"/>
              <w:right w:val="single" w:sz="12" w:space="0" w:color="auto"/>
            </w:tcBorders>
            <w:shd w:val="clear" w:color="000000" w:fill="FABF8F"/>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16%</w:t>
            </w:r>
          </w:p>
        </w:tc>
        <w:tc>
          <w:tcPr>
            <w:tcW w:w="1064" w:type="dxa"/>
            <w:gridSpan w:val="2"/>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£35,060</w:t>
            </w:r>
          </w:p>
        </w:tc>
        <w:tc>
          <w:tcPr>
            <w:tcW w:w="709" w:type="dxa"/>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5%</w:t>
            </w:r>
          </w:p>
        </w:tc>
        <w:tc>
          <w:tcPr>
            <w:tcW w:w="884" w:type="dxa"/>
            <w:gridSpan w:val="2"/>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£31,626</w:t>
            </w:r>
          </w:p>
        </w:tc>
        <w:tc>
          <w:tcPr>
            <w:tcW w:w="675" w:type="dxa"/>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-10%</w:t>
            </w:r>
          </w:p>
        </w:tc>
        <w:tc>
          <w:tcPr>
            <w:tcW w:w="884" w:type="dxa"/>
            <w:gridSpan w:val="2"/>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£31,900</w:t>
            </w:r>
          </w:p>
        </w:tc>
        <w:tc>
          <w:tcPr>
            <w:tcW w:w="676" w:type="dxa"/>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1%</w:t>
            </w:r>
          </w:p>
        </w:tc>
        <w:tc>
          <w:tcPr>
            <w:tcW w:w="992" w:type="dxa"/>
            <w:gridSpan w:val="2"/>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£32,182</w:t>
            </w:r>
          </w:p>
        </w:tc>
        <w:tc>
          <w:tcPr>
            <w:tcW w:w="637" w:type="dxa"/>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1%</w:t>
            </w:r>
          </w:p>
        </w:tc>
        <w:tc>
          <w:tcPr>
            <w:tcW w:w="884" w:type="dxa"/>
            <w:gridSpan w:val="2"/>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£32,472</w:t>
            </w:r>
          </w:p>
        </w:tc>
        <w:tc>
          <w:tcPr>
            <w:tcW w:w="747" w:type="dxa"/>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1%</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color w:val="000000"/>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122"/>
        </w:trPr>
        <w:tc>
          <w:tcPr>
            <w:tcW w:w="2408" w:type="dxa"/>
            <w:tcBorders>
              <w:top w:val="nil"/>
              <w:left w:val="single" w:sz="4" w:space="0" w:color="auto"/>
              <w:bottom w:val="nil"/>
              <w:right w:val="single" w:sz="4" w:space="0" w:color="auto"/>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Grants and Other Funding</w:t>
            </w:r>
          </w:p>
        </w:tc>
        <w:tc>
          <w:tcPr>
            <w:tcW w:w="249" w:type="dxa"/>
            <w:tcBorders>
              <w:top w:val="nil"/>
              <w:left w:val="single" w:sz="4" w:space="0" w:color="auto"/>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250" w:type="dxa"/>
            <w:gridSpan w:val="2"/>
            <w:tcBorders>
              <w:top w:val="nil"/>
              <w:left w:val="nil"/>
              <w:bottom w:val="nil"/>
              <w:right w:val="nil"/>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978" w:type="dxa"/>
            <w:tcBorders>
              <w:top w:val="nil"/>
              <w:left w:val="single" w:sz="4" w:space="0" w:color="auto"/>
              <w:bottom w:val="nil"/>
              <w:right w:val="single" w:sz="4" w:space="0" w:color="auto"/>
            </w:tcBorders>
            <w:shd w:val="clear" w:color="000000" w:fill="FF99CC"/>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£40,406</w:t>
            </w:r>
          </w:p>
        </w:tc>
        <w:tc>
          <w:tcPr>
            <w:tcW w:w="648" w:type="dxa"/>
            <w:tcBorders>
              <w:top w:val="nil"/>
              <w:left w:val="nil"/>
              <w:bottom w:val="nil"/>
              <w:right w:val="nil"/>
            </w:tcBorders>
            <w:shd w:val="clear" w:color="000000" w:fill="FF99CC"/>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-3%</w:t>
            </w:r>
          </w:p>
        </w:tc>
        <w:tc>
          <w:tcPr>
            <w:tcW w:w="1134" w:type="dxa"/>
            <w:gridSpan w:val="2"/>
            <w:tcBorders>
              <w:top w:val="nil"/>
              <w:left w:val="single" w:sz="12" w:space="0" w:color="auto"/>
              <w:bottom w:val="nil"/>
              <w:right w:val="single" w:sz="4" w:space="0" w:color="auto"/>
            </w:tcBorders>
            <w:shd w:val="clear" w:color="000000" w:fill="FABF8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£37,876</w:t>
            </w:r>
          </w:p>
        </w:tc>
        <w:tc>
          <w:tcPr>
            <w:tcW w:w="637" w:type="dxa"/>
            <w:tcBorders>
              <w:top w:val="nil"/>
              <w:left w:val="nil"/>
              <w:bottom w:val="nil"/>
              <w:right w:val="single" w:sz="12" w:space="0" w:color="auto"/>
            </w:tcBorders>
            <w:shd w:val="clear" w:color="000000" w:fill="FABF8F"/>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-6%</w:t>
            </w:r>
          </w:p>
        </w:tc>
        <w:tc>
          <w:tcPr>
            <w:tcW w:w="1064" w:type="dxa"/>
            <w:gridSpan w:val="2"/>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£62,627</w:t>
            </w:r>
          </w:p>
        </w:tc>
        <w:tc>
          <w:tcPr>
            <w:tcW w:w="709" w:type="dxa"/>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65%</w:t>
            </w:r>
          </w:p>
        </w:tc>
        <w:tc>
          <w:tcPr>
            <w:tcW w:w="884" w:type="dxa"/>
            <w:gridSpan w:val="2"/>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£66,627</w:t>
            </w:r>
          </w:p>
        </w:tc>
        <w:tc>
          <w:tcPr>
            <w:tcW w:w="675" w:type="dxa"/>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6%</w:t>
            </w:r>
          </w:p>
        </w:tc>
        <w:tc>
          <w:tcPr>
            <w:tcW w:w="884" w:type="dxa"/>
            <w:gridSpan w:val="2"/>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£66,627</w:t>
            </w:r>
          </w:p>
        </w:tc>
        <w:tc>
          <w:tcPr>
            <w:tcW w:w="676" w:type="dxa"/>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992" w:type="dxa"/>
            <w:gridSpan w:val="2"/>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£66,627</w:t>
            </w:r>
          </w:p>
        </w:tc>
        <w:tc>
          <w:tcPr>
            <w:tcW w:w="637" w:type="dxa"/>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884" w:type="dxa"/>
            <w:gridSpan w:val="2"/>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£66,627</w:t>
            </w:r>
          </w:p>
        </w:tc>
        <w:tc>
          <w:tcPr>
            <w:tcW w:w="747" w:type="dxa"/>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color w:val="000000"/>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58"/>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70A" w:rsidRPr="00F9470A" w:rsidRDefault="00F9470A">
            <w:pPr>
              <w:rPr>
                <w:rFonts w:ascii="Arial" w:hAnsi="Arial" w:cs="Arial"/>
                <w:b/>
                <w:bCs/>
                <w:color w:val="0000FF"/>
                <w:sz w:val="12"/>
                <w:szCs w:val="12"/>
              </w:rPr>
            </w:pPr>
            <w:r w:rsidRPr="00F9470A">
              <w:rPr>
                <w:rFonts w:ascii="Arial" w:hAnsi="Arial" w:cs="Arial"/>
                <w:b/>
                <w:bCs/>
                <w:color w:val="0000FF"/>
                <w:sz w:val="12"/>
                <w:szCs w:val="12"/>
              </w:rPr>
              <w:t>Office Expenditure</w:t>
            </w:r>
          </w:p>
        </w:tc>
        <w:tc>
          <w:tcPr>
            <w:tcW w:w="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F9470A" w:rsidRPr="00F9470A" w:rsidRDefault="00F9470A">
            <w:pPr>
              <w:jc w:val="center"/>
              <w:rPr>
                <w:rFonts w:ascii="Arial" w:hAnsi="Arial" w:cs="Arial"/>
                <w:b/>
                <w:bCs/>
                <w:color w:val="0000FF"/>
                <w:sz w:val="12"/>
                <w:szCs w:val="12"/>
              </w:rPr>
            </w:pPr>
            <w:r w:rsidRPr="00F9470A">
              <w:rPr>
                <w:rFonts w:ascii="Arial" w:hAnsi="Arial" w:cs="Arial"/>
                <w:b/>
                <w:bCs/>
                <w:color w:val="0000FF"/>
                <w:sz w:val="12"/>
                <w:szCs w:val="12"/>
              </w:rPr>
              <w:t> </w:t>
            </w:r>
          </w:p>
        </w:tc>
        <w:tc>
          <w:tcPr>
            <w:tcW w:w="250" w:type="dxa"/>
            <w:gridSpan w:val="2"/>
            <w:tcBorders>
              <w:top w:val="single" w:sz="4" w:space="0" w:color="auto"/>
              <w:left w:val="nil"/>
              <w:bottom w:val="single" w:sz="4" w:space="0" w:color="auto"/>
              <w:right w:val="nil"/>
            </w:tcBorders>
            <w:shd w:val="clear" w:color="000000" w:fill="FFFF99"/>
            <w:noWrap/>
            <w:vAlign w:val="bottom"/>
            <w:hideMark/>
          </w:tcPr>
          <w:p w:rsidR="00F9470A" w:rsidRPr="00F9470A" w:rsidRDefault="00F9470A">
            <w:pPr>
              <w:jc w:val="center"/>
              <w:rPr>
                <w:rFonts w:ascii="Arial" w:hAnsi="Arial" w:cs="Arial"/>
                <w:color w:val="0000FF"/>
                <w:sz w:val="12"/>
                <w:szCs w:val="12"/>
              </w:rPr>
            </w:pPr>
            <w:r w:rsidRPr="00F9470A">
              <w:rPr>
                <w:rFonts w:ascii="Arial" w:hAnsi="Arial" w:cs="Arial"/>
                <w:color w:val="0000FF"/>
                <w:sz w:val="12"/>
                <w:szCs w:val="12"/>
              </w:rPr>
              <w:t> </w:t>
            </w:r>
          </w:p>
        </w:tc>
        <w:tc>
          <w:tcPr>
            <w:tcW w:w="978" w:type="dxa"/>
            <w:tcBorders>
              <w:top w:val="single" w:sz="4" w:space="0" w:color="auto"/>
              <w:left w:val="single" w:sz="4" w:space="0" w:color="auto"/>
              <w:bottom w:val="single" w:sz="4" w:space="0" w:color="auto"/>
              <w:right w:val="single" w:sz="4" w:space="0" w:color="auto"/>
            </w:tcBorders>
            <w:shd w:val="clear" w:color="000000" w:fill="FF99CC"/>
            <w:noWrap/>
            <w:vAlign w:val="bottom"/>
            <w:hideMark/>
          </w:tcPr>
          <w:p w:rsidR="00F9470A" w:rsidRPr="00F9470A" w:rsidRDefault="00F9470A">
            <w:pPr>
              <w:jc w:val="center"/>
              <w:rPr>
                <w:rFonts w:ascii="Arial" w:hAnsi="Arial" w:cs="Arial"/>
                <w:b/>
                <w:bCs/>
                <w:color w:val="0000FF"/>
                <w:sz w:val="12"/>
                <w:szCs w:val="12"/>
              </w:rPr>
            </w:pPr>
            <w:r w:rsidRPr="00F9470A">
              <w:rPr>
                <w:rFonts w:ascii="Arial" w:hAnsi="Arial" w:cs="Arial"/>
                <w:b/>
                <w:bCs/>
                <w:color w:val="0000FF"/>
                <w:sz w:val="12"/>
                <w:szCs w:val="12"/>
              </w:rPr>
              <w:t>£610,967</w:t>
            </w:r>
          </w:p>
        </w:tc>
        <w:tc>
          <w:tcPr>
            <w:tcW w:w="648" w:type="dxa"/>
            <w:tcBorders>
              <w:top w:val="single" w:sz="4" w:space="0" w:color="auto"/>
              <w:left w:val="nil"/>
              <w:bottom w:val="single" w:sz="4" w:space="0" w:color="auto"/>
              <w:right w:val="nil"/>
            </w:tcBorders>
            <w:shd w:val="clear" w:color="000000" w:fill="FF99CC"/>
            <w:noWrap/>
            <w:vAlign w:val="bottom"/>
            <w:hideMark/>
          </w:tcPr>
          <w:p w:rsidR="00F9470A" w:rsidRPr="00F9470A" w:rsidRDefault="00F9470A">
            <w:pPr>
              <w:jc w:val="center"/>
              <w:rPr>
                <w:rFonts w:ascii="Arial" w:hAnsi="Arial" w:cs="Arial"/>
                <w:color w:val="0000FF"/>
                <w:sz w:val="12"/>
                <w:szCs w:val="12"/>
              </w:rPr>
            </w:pPr>
            <w:r w:rsidRPr="00F9470A">
              <w:rPr>
                <w:rFonts w:ascii="Arial" w:hAnsi="Arial" w:cs="Arial"/>
                <w:color w:val="0000FF"/>
                <w:sz w:val="12"/>
                <w:szCs w:val="12"/>
              </w:rPr>
              <w:t> </w:t>
            </w:r>
          </w:p>
        </w:tc>
        <w:tc>
          <w:tcPr>
            <w:tcW w:w="1134" w:type="dxa"/>
            <w:gridSpan w:val="2"/>
            <w:tcBorders>
              <w:top w:val="single" w:sz="4" w:space="0" w:color="auto"/>
              <w:left w:val="single" w:sz="12" w:space="0" w:color="auto"/>
              <w:bottom w:val="single" w:sz="4" w:space="0" w:color="auto"/>
              <w:right w:val="single" w:sz="4" w:space="0" w:color="auto"/>
            </w:tcBorders>
            <w:shd w:val="clear" w:color="000000" w:fill="FABF8F"/>
            <w:noWrap/>
            <w:vAlign w:val="bottom"/>
            <w:hideMark/>
          </w:tcPr>
          <w:p w:rsidR="00F9470A" w:rsidRPr="00F9470A" w:rsidRDefault="00F9470A">
            <w:pPr>
              <w:jc w:val="center"/>
              <w:rPr>
                <w:rFonts w:ascii="Arial" w:hAnsi="Arial" w:cs="Arial"/>
                <w:b/>
                <w:bCs/>
                <w:color w:val="0000FF"/>
                <w:sz w:val="12"/>
                <w:szCs w:val="12"/>
              </w:rPr>
            </w:pPr>
            <w:r w:rsidRPr="00F9470A">
              <w:rPr>
                <w:rFonts w:ascii="Arial" w:hAnsi="Arial" w:cs="Arial"/>
                <w:b/>
                <w:bCs/>
                <w:color w:val="0000FF"/>
                <w:sz w:val="12"/>
                <w:szCs w:val="12"/>
              </w:rPr>
              <w:t>£635,917</w:t>
            </w:r>
          </w:p>
        </w:tc>
        <w:tc>
          <w:tcPr>
            <w:tcW w:w="637" w:type="dxa"/>
            <w:tcBorders>
              <w:top w:val="single" w:sz="4" w:space="0" w:color="auto"/>
              <w:left w:val="nil"/>
              <w:bottom w:val="single" w:sz="4" w:space="0" w:color="auto"/>
              <w:right w:val="single" w:sz="12" w:space="0" w:color="auto"/>
            </w:tcBorders>
            <w:shd w:val="clear" w:color="000000" w:fill="FABF8F"/>
            <w:noWrap/>
            <w:vAlign w:val="bottom"/>
            <w:hideMark/>
          </w:tcPr>
          <w:p w:rsidR="00F9470A" w:rsidRPr="00F9470A" w:rsidRDefault="00F9470A">
            <w:pPr>
              <w:jc w:val="center"/>
              <w:rPr>
                <w:rFonts w:ascii="Arial" w:hAnsi="Arial" w:cs="Arial"/>
                <w:color w:val="0000FF"/>
                <w:sz w:val="12"/>
                <w:szCs w:val="12"/>
              </w:rPr>
            </w:pPr>
            <w:r w:rsidRPr="00F9470A">
              <w:rPr>
                <w:rFonts w:ascii="Arial" w:hAnsi="Arial" w:cs="Arial"/>
                <w:color w:val="0000FF"/>
                <w:sz w:val="12"/>
                <w:szCs w:val="12"/>
              </w:rPr>
              <w:t> </w:t>
            </w:r>
          </w:p>
        </w:tc>
        <w:tc>
          <w:tcPr>
            <w:tcW w:w="1064"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F9470A" w:rsidRPr="00F9470A" w:rsidRDefault="00F9470A">
            <w:pPr>
              <w:jc w:val="center"/>
              <w:rPr>
                <w:rFonts w:ascii="Arial" w:hAnsi="Arial" w:cs="Arial"/>
                <w:b/>
                <w:bCs/>
                <w:color w:val="0000FF"/>
                <w:sz w:val="12"/>
                <w:szCs w:val="12"/>
              </w:rPr>
            </w:pPr>
            <w:r w:rsidRPr="00F9470A">
              <w:rPr>
                <w:rFonts w:ascii="Arial" w:hAnsi="Arial" w:cs="Arial"/>
                <w:b/>
                <w:bCs/>
                <w:color w:val="0000FF"/>
                <w:sz w:val="12"/>
                <w:szCs w:val="12"/>
              </w:rPr>
              <w:t>£773,711</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rsidR="00F9470A" w:rsidRPr="00F9470A" w:rsidRDefault="00F9470A">
            <w:pPr>
              <w:jc w:val="center"/>
              <w:rPr>
                <w:rFonts w:ascii="Arial" w:hAnsi="Arial" w:cs="Arial"/>
                <w:color w:val="0000FF"/>
                <w:sz w:val="12"/>
                <w:szCs w:val="12"/>
              </w:rPr>
            </w:pPr>
            <w:r w:rsidRPr="00F9470A">
              <w:rPr>
                <w:rFonts w:ascii="Arial" w:hAnsi="Arial" w:cs="Arial"/>
                <w:color w:val="0000FF"/>
                <w:sz w:val="12"/>
                <w:szCs w:val="12"/>
              </w:rPr>
              <w:t> </w:t>
            </w:r>
          </w:p>
        </w:tc>
        <w:tc>
          <w:tcPr>
            <w:tcW w:w="884" w:type="dxa"/>
            <w:gridSpan w:val="2"/>
            <w:tcBorders>
              <w:top w:val="single" w:sz="4" w:space="0" w:color="auto"/>
              <w:left w:val="nil"/>
              <w:bottom w:val="single" w:sz="4" w:space="0" w:color="auto"/>
              <w:right w:val="single" w:sz="4" w:space="0" w:color="auto"/>
            </w:tcBorders>
            <w:shd w:val="clear" w:color="000000" w:fill="CC99FF"/>
            <w:noWrap/>
            <w:vAlign w:val="bottom"/>
            <w:hideMark/>
          </w:tcPr>
          <w:p w:rsidR="00F9470A" w:rsidRPr="00F9470A" w:rsidRDefault="00F9470A">
            <w:pPr>
              <w:jc w:val="center"/>
              <w:rPr>
                <w:rFonts w:ascii="Arial" w:hAnsi="Arial" w:cs="Arial"/>
                <w:b/>
                <w:bCs/>
                <w:color w:val="0000FF"/>
                <w:sz w:val="12"/>
                <w:szCs w:val="12"/>
              </w:rPr>
            </w:pPr>
            <w:r w:rsidRPr="00F9470A">
              <w:rPr>
                <w:rFonts w:ascii="Arial" w:hAnsi="Arial" w:cs="Arial"/>
                <w:b/>
                <w:bCs/>
                <w:color w:val="0000FF"/>
                <w:sz w:val="12"/>
                <w:szCs w:val="12"/>
              </w:rPr>
              <w:t>£775,013</w:t>
            </w:r>
          </w:p>
        </w:tc>
        <w:tc>
          <w:tcPr>
            <w:tcW w:w="675" w:type="dxa"/>
            <w:tcBorders>
              <w:top w:val="single" w:sz="4" w:space="0" w:color="auto"/>
              <w:left w:val="nil"/>
              <w:bottom w:val="single" w:sz="4" w:space="0" w:color="auto"/>
              <w:right w:val="single" w:sz="4" w:space="0" w:color="auto"/>
            </w:tcBorders>
            <w:shd w:val="clear" w:color="000000" w:fill="CC99FF"/>
            <w:noWrap/>
            <w:vAlign w:val="bottom"/>
            <w:hideMark/>
          </w:tcPr>
          <w:p w:rsidR="00F9470A" w:rsidRPr="00F9470A" w:rsidRDefault="00F9470A">
            <w:pPr>
              <w:jc w:val="center"/>
              <w:rPr>
                <w:rFonts w:ascii="Arial" w:hAnsi="Arial" w:cs="Arial"/>
                <w:color w:val="0000FF"/>
                <w:sz w:val="12"/>
                <w:szCs w:val="12"/>
              </w:rPr>
            </w:pPr>
            <w:r w:rsidRPr="00F9470A">
              <w:rPr>
                <w:rFonts w:ascii="Arial" w:hAnsi="Arial" w:cs="Arial"/>
                <w:color w:val="0000FF"/>
                <w:sz w:val="12"/>
                <w:szCs w:val="12"/>
              </w:rPr>
              <w:t> </w:t>
            </w:r>
          </w:p>
        </w:tc>
        <w:tc>
          <w:tcPr>
            <w:tcW w:w="884" w:type="dxa"/>
            <w:gridSpan w:val="2"/>
            <w:tcBorders>
              <w:top w:val="single" w:sz="4" w:space="0" w:color="auto"/>
              <w:left w:val="nil"/>
              <w:bottom w:val="single" w:sz="4" w:space="0" w:color="auto"/>
              <w:right w:val="single" w:sz="4" w:space="0" w:color="auto"/>
            </w:tcBorders>
            <w:shd w:val="clear" w:color="000000" w:fill="C4D79B"/>
            <w:noWrap/>
            <w:vAlign w:val="bottom"/>
            <w:hideMark/>
          </w:tcPr>
          <w:p w:rsidR="00F9470A" w:rsidRPr="00F9470A" w:rsidRDefault="00F9470A">
            <w:pPr>
              <w:jc w:val="center"/>
              <w:rPr>
                <w:rFonts w:ascii="Arial" w:hAnsi="Arial" w:cs="Arial"/>
                <w:b/>
                <w:bCs/>
                <w:color w:val="0000FF"/>
                <w:sz w:val="12"/>
                <w:szCs w:val="12"/>
              </w:rPr>
            </w:pPr>
            <w:r w:rsidRPr="00F9470A">
              <w:rPr>
                <w:rFonts w:ascii="Arial" w:hAnsi="Arial" w:cs="Arial"/>
                <w:b/>
                <w:bCs/>
                <w:color w:val="0000FF"/>
                <w:sz w:val="12"/>
                <w:szCs w:val="12"/>
              </w:rPr>
              <w:t>£792,655</w:t>
            </w:r>
          </w:p>
        </w:tc>
        <w:tc>
          <w:tcPr>
            <w:tcW w:w="676" w:type="dxa"/>
            <w:tcBorders>
              <w:top w:val="single" w:sz="4" w:space="0" w:color="auto"/>
              <w:left w:val="nil"/>
              <w:bottom w:val="single" w:sz="4" w:space="0" w:color="auto"/>
              <w:right w:val="single" w:sz="4" w:space="0" w:color="auto"/>
            </w:tcBorders>
            <w:shd w:val="clear" w:color="000000" w:fill="C4D79B"/>
            <w:noWrap/>
            <w:vAlign w:val="bottom"/>
            <w:hideMark/>
          </w:tcPr>
          <w:p w:rsidR="00F9470A" w:rsidRPr="00F9470A" w:rsidRDefault="00F9470A">
            <w:pPr>
              <w:jc w:val="center"/>
              <w:rPr>
                <w:rFonts w:ascii="Arial" w:hAnsi="Arial" w:cs="Arial"/>
                <w:color w:val="0000FF"/>
                <w:sz w:val="12"/>
                <w:szCs w:val="12"/>
              </w:rPr>
            </w:pPr>
            <w:r w:rsidRPr="00F9470A">
              <w:rPr>
                <w:rFonts w:ascii="Arial" w:hAnsi="Arial" w:cs="Arial"/>
                <w:color w:val="0000FF"/>
                <w:sz w:val="12"/>
                <w:szCs w:val="12"/>
              </w:rPr>
              <w:t> </w:t>
            </w:r>
          </w:p>
        </w:tc>
        <w:tc>
          <w:tcPr>
            <w:tcW w:w="992" w:type="dxa"/>
            <w:gridSpan w:val="2"/>
            <w:tcBorders>
              <w:top w:val="single" w:sz="4" w:space="0" w:color="auto"/>
              <w:left w:val="nil"/>
              <w:bottom w:val="single" w:sz="4" w:space="0" w:color="auto"/>
              <w:right w:val="single" w:sz="4" w:space="0" w:color="auto"/>
            </w:tcBorders>
            <w:shd w:val="clear" w:color="000000" w:fill="B8CCE4"/>
            <w:noWrap/>
            <w:vAlign w:val="bottom"/>
            <w:hideMark/>
          </w:tcPr>
          <w:p w:rsidR="00F9470A" w:rsidRPr="00F9470A" w:rsidRDefault="00F9470A">
            <w:pPr>
              <w:jc w:val="center"/>
              <w:rPr>
                <w:rFonts w:ascii="Arial" w:hAnsi="Arial" w:cs="Arial"/>
                <w:b/>
                <w:bCs/>
                <w:color w:val="0000FF"/>
                <w:sz w:val="12"/>
                <w:szCs w:val="12"/>
              </w:rPr>
            </w:pPr>
            <w:r w:rsidRPr="00F9470A">
              <w:rPr>
                <w:rFonts w:ascii="Arial" w:hAnsi="Arial" w:cs="Arial"/>
                <w:b/>
                <w:bCs/>
                <w:color w:val="0000FF"/>
                <w:sz w:val="12"/>
                <w:szCs w:val="12"/>
              </w:rPr>
              <w:t>£809,526</w:t>
            </w:r>
          </w:p>
        </w:tc>
        <w:tc>
          <w:tcPr>
            <w:tcW w:w="637" w:type="dxa"/>
            <w:tcBorders>
              <w:top w:val="single" w:sz="4" w:space="0" w:color="auto"/>
              <w:left w:val="nil"/>
              <w:bottom w:val="single" w:sz="4" w:space="0" w:color="auto"/>
              <w:right w:val="single" w:sz="4" w:space="0" w:color="auto"/>
            </w:tcBorders>
            <w:shd w:val="clear" w:color="000000" w:fill="B8CCE4"/>
            <w:noWrap/>
            <w:vAlign w:val="bottom"/>
            <w:hideMark/>
          </w:tcPr>
          <w:p w:rsidR="00F9470A" w:rsidRPr="00F9470A" w:rsidRDefault="00F9470A">
            <w:pPr>
              <w:jc w:val="center"/>
              <w:rPr>
                <w:rFonts w:ascii="Arial" w:hAnsi="Arial" w:cs="Arial"/>
                <w:color w:val="0000FF"/>
                <w:sz w:val="12"/>
                <w:szCs w:val="12"/>
              </w:rPr>
            </w:pPr>
            <w:r w:rsidRPr="00F9470A">
              <w:rPr>
                <w:rFonts w:ascii="Arial" w:hAnsi="Arial" w:cs="Arial"/>
                <w:color w:val="0000FF"/>
                <w:sz w:val="12"/>
                <w:szCs w:val="12"/>
              </w:rPr>
              <w:t> </w:t>
            </w:r>
          </w:p>
        </w:tc>
        <w:tc>
          <w:tcPr>
            <w:tcW w:w="884"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F9470A" w:rsidRPr="00F9470A" w:rsidRDefault="00F9470A">
            <w:pPr>
              <w:jc w:val="center"/>
              <w:rPr>
                <w:rFonts w:ascii="Arial" w:hAnsi="Arial" w:cs="Arial"/>
                <w:b/>
                <w:bCs/>
                <w:color w:val="0000FF"/>
                <w:sz w:val="12"/>
                <w:szCs w:val="12"/>
              </w:rPr>
            </w:pPr>
            <w:r w:rsidRPr="00F9470A">
              <w:rPr>
                <w:rFonts w:ascii="Arial" w:hAnsi="Arial" w:cs="Arial"/>
                <w:b/>
                <w:bCs/>
                <w:color w:val="0000FF"/>
                <w:sz w:val="12"/>
                <w:szCs w:val="12"/>
              </w:rPr>
              <w:t>£803,208</w:t>
            </w:r>
          </w:p>
        </w:tc>
        <w:tc>
          <w:tcPr>
            <w:tcW w:w="747" w:type="dxa"/>
            <w:tcBorders>
              <w:top w:val="single" w:sz="4" w:space="0" w:color="auto"/>
              <w:left w:val="nil"/>
              <w:bottom w:val="single" w:sz="4" w:space="0" w:color="auto"/>
              <w:right w:val="single" w:sz="4" w:space="0" w:color="auto"/>
            </w:tcBorders>
            <w:shd w:val="clear" w:color="000000" w:fill="FFFF99"/>
            <w:noWrap/>
            <w:vAlign w:val="bottom"/>
            <w:hideMark/>
          </w:tcPr>
          <w:p w:rsidR="00F9470A" w:rsidRPr="00F9470A" w:rsidRDefault="00F9470A">
            <w:pPr>
              <w:jc w:val="center"/>
              <w:rPr>
                <w:rFonts w:ascii="Arial" w:hAnsi="Arial" w:cs="Arial"/>
                <w:color w:val="0000FF"/>
                <w:sz w:val="12"/>
                <w:szCs w:val="12"/>
              </w:rPr>
            </w:pPr>
            <w:r w:rsidRPr="00F9470A">
              <w:rPr>
                <w:rFonts w:ascii="Arial" w:hAnsi="Arial" w:cs="Arial"/>
                <w:color w:val="0000FF"/>
                <w:sz w:val="12"/>
                <w:szCs w:val="12"/>
              </w:rPr>
              <w:t> </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color w:val="0000FF"/>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58"/>
        </w:trPr>
        <w:tc>
          <w:tcPr>
            <w:tcW w:w="2408" w:type="dxa"/>
            <w:tcBorders>
              <w:top w:val="nil"/>
              <w:left w:val="single" w:sz="4" w:space="0" w:color="auto"/>
              <w:bottom w:val="nil"/>
              <w:right w:val="single" w:sz="4" w:space="0" w:color="auto"/>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 xml:space="preserve">Bradley Stoke Jubilee Centre </w:t>
            </w:r>
          </w:p>
        </w:tc>
        <w:tc>
          <w:tcPr>
            <w:tcW w:w="249" w:type="dxa"/>
            <w:tcBorders>
              <w:top w:val="nil"/>
              <w:left w:val="single" w:sz="4" w:space="0" w:color="auto"/>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250" w:type="dxa"/>
            <w:gridSpan w:val="2"/>
            <w:tcBorders>
              <w:top w:val="nil"/>
              <w:left w:val="nil"/>
              <w:bottom w:val="nil"/>
              <w:right w:val="nil"/>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978" w:type="dxa"/>
            <w:tcBorders>
              <w:top w:val="nil"/>
              <w:left w:val="single" w:sz="4" w:space="0" w:color="auto"/>
              <w:bottom w:val="nil"/>
              <w:right w:val="single" w:sz="4" w:space="0" w:color="auto"/>
            </w:tcBorders>
            <w:shd w:val="clear" w:color="000000" w:fill="FF99CC"/>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£72,725</w:t>
            </w:r>
          </w:p>
        </w:tc>
        <w:tc>
          <w:tcPr>
            <w:tcW w:w="648" w:type="dxa"/>
            <w:tcBorders>
              <w:top w:val="nil"/>
              <w:left w:val="nil"/>
              <w:bottom w:val="nil"/>
              <w:right w:val="nil"/>
            </w:tcBorders>
            <w:shd w:val="clear" w:color="000000" w:fill="FF99CC"/>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-20%</w:t>
            </w:r>
          </w:p>
        </w:tc>
        <w:tc>
          <w:tcPr>
            <w:tcW w:w="1134" w:type="dxa"/>
            <w:gridSpan w:val="2"/>
            <w:tcBorders>
              <w:top w:val="nil"/>
              <w:left w:val="single" w:sz="12" w:space="0" w:color="auto"/>
              <w:bottom w:val="nil"/>
              <w:right w:val="single" w:sz="4" w:space="0" w:color="auto"/>
            </w:tcBorders>
            <w:shd w:val="clear" w:color="000000" w:fill="FABF8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£72,383</w:t>
            </w:r>
          </w:p>
        </w:tc>
        <w:tc>
          <w:tcPr>
            <w:tcW w:w="637" w:type="dxa"/>
            <w:tcBorders>
              <w:top w:val="nil"/>
              <w:left w:val="nil"/>
              <w:bottom w:val="nil"/>
              <w:right w:val="single" w:sz="12" w:space="0" w:color="auto"/>
            </w:tcBorders>
            <w:shd w:val="clear" w:color="000000" w:fill="FABF8F"/>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1064" w:type="dxa"/>
            <w:gridSpan w:val="2"/>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£93,414</w:t>
            </w:r>
          </w:p>
        </w:tc>
        <w:tc>
          <w:tcPr>
            <w:tcW w:w="709" w:type="dxa"/>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29%</w:t>
            </w:r>
          </w:p>
        </w:tc>
        <w:tc>
          <w:tcPr>
            <w:tcW w:w="884" w:type="dxa"/>
            <w:gridSpan w:val="2"/>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£95,595</w:t>
            </w:r>
          </w:p>
        </w:tc>
        <w:tc>
          <w:tcPr>
            <w:tcW w:w="675" w:type="dxa"/>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2%</w:t>
            </w:r>
          </w:p>
        </w:tc>
        <w:tc>
          <w:tcPr>
            <w:tcW w:w="884" w:type="dxa"/>
            <w:gridSpan w:val="2"/>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£98,708</w:t>
            </w:r>
          </w:p>
        </w:tc>
        <w:tc>
          <w:tcPr>
            <w:tcW w:w="676" w:type="dxa"/>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3%</w:t>
            </w:r>
          </w:p>
        </w:tc>
        <w:tc>
          <w:tcPr>
            <w:tcW w:w="992" w:type="dxa"/>
            <w:gridSpan w:val="2"/>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£102,554</w:t>
            </w:r>
          </w:p>
        </w:tc>
        <w:tc>
          <w:tcPr>
            <w:tcW w:w="637" w:type="dxa"/>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4%</w:t>
            </w:r>
          </w:p>
        </w:tc>
        <w:tc>
          <w:tcPr>
            <w:tcW w:w="884" w:type="dxa"/>
            <w:gridSpan w:val="2"/>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£106,597</w:t>
            </w:r>
          </w:p>
        </w:tc>
        <w:tc>
          <w:tcPr>
            <w:tcW w:w="747" w:type="dxa"/>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4%</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color w:val="000000"/>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96"/>
        </w:trPr>
        <w:tc>
          <w:tcPr>
            <w:tcW w:w="2408" w:type="dxa"/>
            <w:tcBorders>
              <w:top w:val="nil"/>
              <w:left w:val="single" w:sz="4" w:space="0" w:color="auto"/>
              <w:bottom w:val="nil"/>
              <w:right w:val="single" w:sz="4" w:space="0" w:color="auto"/>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 xml:space="preserve">Brook Way Activity Centre </w:t>
            </w:r>
          </w:p>
        </w:tc>
        <w:tc>
          <w:tcPr>
            <w:tcW w:w="249" w:type="dxa"/>
            <w:tcBorders>
              <w:top w:val="nil"/>
              <w:left w:val="single" w:sz="4" w:space="0" w:color="auto"/>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250" w:type="dxa"/>
            <w:gridSpan w:val="2"/>
            <w:tcBorders>
              <w:top w:val="nil"/>
              <w:left w:val="nil"/>
              <w:bottom w:val="nil"/>
              <w:right w:val="nil"/>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978" w:type="dxa"/>
            <w:tcBorders>
              <w:top w:val="nil"/>
              <w:left w:val="single" w:sz="4" w:space="0" w:color="auto"/>
              <w:bottom w:val="nil"/>
              <w:right w:val="single" w:sz="4" w:space="0" w:color="auto"/>
            </w:tcBorders>
            <w:shd w:val="clear" w:color="000000" w:fill="FF99CC"/>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£34,854</w:t>
            </w:r>
          </w:p>
        </w:tc>
        <w:tc>
          <w:tcPr>
            <w:tcW w:w="648" w:type="dxa"/>
            <w:tcBorders>
              <w:top w:val="nil"/>
              <w:left w:val="nil"/>
              <w:bottom w:val="nil"/>
              <w:right w:val="nil"/>
            </w:tcBorders>
            <w:shd w:val="clear" w:color="000000" w:fill="FF99CC"/>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2%</w:t>
            </w:r>
          </w:p>
        </w:tc>
        <w:tc>
          <w:tcPr>
            <w:tcW w:w="1134" w:type="dxa"/>
            <w:gridSpan w:val="2"/>
            <w:tcBorders>
              <w:top w:val="nil"/>
              <w:left w:val="single" w:sz="12" w:space="0" w:color="auto"/>
              <w:bottom w:val="nil"/>
              <w:right w:val="single" w:sz="4" w:space="0" w:color="auto"/>
            </w:tcBorders>
            <w:shd w:val="clear" w:color="000000" w:fill="FABF8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£29,007</w:t>
            </w:r>
          </w:p>
        </w:tc>
        <w:tc>
          <w:tcPr>
            <w:tcW w:w="637" w:type="dxa"/>
            <w:tcBorders>
              <w:top w:val="nil"/>
              <w:left w:val="nil"/>
              <w:bottom w:val="nil"/>
              <w:right w:val="single" w:sz="12" w:space="0" w:color="auto"/>
            </w:tcBorders>
            <w:shd w:val="clear" w:color="000000" w:fill="FABF8F"/>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-17%</w:t>
            </w:r>
          </w:p>
        </w:tc>
        <w:tc>
          <w:tcPr>
            <w:tcW w:w="1064" w:type="dxa"/>
            <w:gridSpan w:val="2"/>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£46,120</w:t>
            </w:r>
          </w:p>
        </w:tc>
        <w:tc>
          <w:tcPr>
            <w:tcW w:w="709" w:type="dxa"/>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59%</w:t>
            </w:r>
          </w:p>
        </w:tc>
        <w:tc>
          <w:tcPr>
            <w:tcW w:w="884" w:type="dxa"/>
            <w:gridSpan w:val="2"/>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£47,030</w:t>
            </w:r>
          </w:p>
        </w:tc>
        <w:tc>
          <w:tcPr>
            <w:tcW w:w="675" w:type="dxa"/>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2%</w:t>
            </w:r>
          </w:p>
        </w:tc>
        <w:tc>
          <w:tcPr>
            <w:tcW w:w="884" w:type="dxa"/>
            <w:gridSpan w:val="2"/>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£48,554</w:t>
            </w:r>
          </w:p>
        </w:tc>
        <w:tc>
          <w:tcPr>
            <w:tcW w:w="676" w:type="dxa"/>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3%</w:t>
            </w:r>
          </w:p>
        </w:tc>
        <w:tc>
          <w:tcPr>
            <w:tcW w:w="992" w:type="dxa"/>
            <w:gridSpan w:val="2"/>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£50,601</w:t>
            </w:r>
          </w:p>
        </w:tc>
        <w:tc>
          <w:tcPr>
            <w:tcW w:w="637" w:type="dxa"/>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4%</w:t>
            </w:r>
          </w:p>
        </w:tc>
        <w:tc>
          <w:tcPr>
            <w:tcW w:w="884" w:type="dxa"/>
            <w:gridSpan w:val="2"/>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£52,741</w:t>
            </w:r>
          </w:p>
        </w:tc>
        <w:tc>
          <w:tcPr>
            <w:tcW w:w="747" w:type="dxa"/>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4%</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color w:val="000000"/>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68"/>
        </w:trPr>
        <w:tc>
          <w:tcPr>
            <w:tcW w:w="2408" w:type="dxa"/>
            <w:tcBorders>
              <w:top w:val="nil"/>
              <w:left w:val="single" w:sz="4" w:space="0" w:color="auto"/>
              <w:bottom w:val="nil"/>
              <w:right w:val="single" w:sz="4" w:space="0" w:color="auto"/>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 xml:space="preserve">Baileys Court Activity Centre </w:t>
            </w:r>
          </w:p>
        </w:tc>
        <w:tc>
          <w:tcPr>
            <w:tcW w:w="249" w:type="dxa"/>
            <w:tcBorders>
              <w:top w:val="nil"/>
              <w:left w:val="single" w:sz="4" w:space="0" w:color="auto"/>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250" w:type="dxa"/>
            <w:gridSpan w:val="2"/>
            <w:tcBorders>
              <w:top w:val="nil"/>
              <w:left w:val="nil"/>
              <w:bottom w:val="nil"/>
              <w:right w:val="nil"/>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978" w:type="dxa"/>
            <w:tcBorders>
              <w:top w:val="nil"/>
              <w:left w:val="single" w:sz="4" w:space="0" w:color="auto"/>
              <w:bottom w:val="nil"/>
              <w:right w:val="single" w:sz="4" w:space="0" w:color="auto"/>
            </w:tcBorders>
            <w:shd w:val="clear" w:color="000000" w:fill="FF99CC"/>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£74,663</w:t>
            </w:r>
          </w:p>
        </w:tc>
        <w:tc>
          <w:tcPr>
            <w:tcW w:w="648" w:type="dxa"/>
            <w:tcBorders>
              <w:top w:val="nil"/>
              <w:left w:val="nil"/>
              <w:bottom w:val="nil"/>
              <w:right w:val="nil"/>
            </w:tcBorders>
            <w:shd w:val="clear" w:color="000000" w:fill="FF99CC"/>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-6%</w:t>
            </w:r>
          </w:p>
        </w:tc>
        <w:tc>
          <w:tcPr>
            <w:tcW w:w="1134" w:type="dxa"/>
            <w:gridSpan w:val="2"/>
            <w:tcBorders>
              <w:top w:val="nil"/>
              <w:left w:val="single" w:sz="12" w:space="0" w:color="auto"/>
              <w:bottom w:val="nil"/>
              <w:right w:val="single" w:sz="4" w:space="0" w:color="auto"/>
            </w:tcBorders>
            <w:shd w:val="clear" w:color="000000" w:fill="FABF8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£83,288</w:t>
            </w:r>
          </w:p>
        </w:tc>
        <w:tc>
          <w:tcPr>
            <w:tcW w:w="637" w:type="dxa"/>
            <w:tcBorders>
              <w:top w:val="nil"/>
              <w:left w:val="nil"/>
              <w:bottom w:val="nil"/>
              <w:right w:val="single" w:sz="12" w:space="0" w:color="auto"/>
            </w:tcBorders>
            <w:shd w:val="clear" w:color="000000" w:fill="FABF8F"/>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12%</w:t>
            </w:r>
          </w:p>
        </w:tc>
        <w:tc>
          <w:tcPr>
            <w:tcW w:w="1064" w:type="dxa"/>
            <w:gridSpan w:val="2"/>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£89,980</w:t>
            </w:r>
          </w:p>
        </w:tc>
        <w:tc>
          <w:tcPr>
            <w:tcW w:w="709" w:type="dxa"/>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8%</w:t>
            </w:r>
          </w:p>
        </w:tc>
        <w:tc>
          <w:tcPr>
            <w:tcW w:w="884" w:type="dxa"/>
            <w:gridSpan w:val="2"/>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£92,217</w:t>
            </w:r>
          </w:p>
        </w:tc>
        <w:tc>
          <w:tcPr>
            <w:tcW w:w="675" w:type="dxa"/>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2%</w:t>
            </w:r>
          </w:p>
        </w:tc>
        <w:tc>
          <w:tcPr>
            <w:tcW w:w="884" w:type="dxa"/>
            <w:gridSpan w:val="2"/>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£95,290</w:t>
            </w:r>
          </w:p>
        </w:tc>
        <w:tc>
          <w:tcPr>
            <w:tcW w:w="676" w:type="dxa"/>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3%</w:t>
            </w:r>
          </w:p>
        </w:tc>
        <w:tc>
          <w:tcPr>
            <w:tcW w:w="992" w:type="dxa"/>
            <w:gridSpan w:val="2"/>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£98,965</w:t>
            </w:r>
          </w:p>
        </w:tc>
        <w:tc>
          <w:tcPr>
            <w:tcW w:w="637" w:type="dxa"/>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4%</w:t>
            </w:r>
          </w:p>
        </w:tc>
        <w:tc>
          <w:tcPr>
            <w:tcW w:w="884" w:type="dxa"/>
            <w:gridSpan w:val="2"/>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£102,793</w:t>
            </w:r>
          </w:p>
        </w:tc>
        <w:tc>
          <w:tcPr>
            <w:tcW w:w="747" w:type="dxa"/>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4%</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color w:val="000000"/>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58"/>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70A" w:rsidRPr="00F9470A" w:rsidRDefault="00F9470A">
            <w:pPr>
              <w:rPr>
                <w:rFonts w:ascii="Arial" w:hAnsi="Arial" w:cs="Arial"/>
                <w:b/>
                <w:bCs/>
                <w:color w:val="0000FF"/>
                <w:sz w:val="12"/>
                <w:szCs w:val="12"/>
              </w:rPr>
            </w:pPr>
            <w:r w:rsidRPr="00F9470A">
              <w:rPr>
                <w:rFonts w:ascii="Arial" w:hAnsi="Arial" w:cs="Arial"/>
                <w:b/>
                <w:bCs/>
                <w:color w:val="0000FF"/>
                <w:sz w:val="12"/>
                <w:szCs w:val="12"/>
              </w:rPr>
              <w:t>Activity Centres Running Costs</w:t>
            </w:r>
          </w:p>
        </w:tc>
        <w:tc>
          <w:tcPr>
            <w:tcW w:w="249"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F9470A" w:rsidRPr="00F9470A" w:rsidRDefault="00F9470A">
            <w:pPr>
              <w:jc w:val="center"/>
              <w:rPr>
                <w:rFonts w:ascii="Arial" w:hAnsi="Arial" w:cs="Arial"/>
                <w:b/>
                <w:bCs/>
                <w:color w:val="0000FF"/>
                <w:sz w:val="12"/>
                <w:szCs w:val="12"/>
              </w:rPr>
            </w:pPr>
            <w:r w:rsidRPr="00F9470A">
              <w:rPr>
                <w:rFonts w:ascii="Arial" w:hAnsi="Arial" w:cs="Arial"/>
                <w:b/>
                <w:bCs/>
                <w:color w:val="0000FF"/>
                <w:sz w:val="12"/>
                <w:szCs w:val="12"/>
              </w:rPr>
              <w:t> </w:t>
            </w:r>
          </w:p>
        </w:tc>
        <w:tc>
          <w:tcPr>
            <w:tcW w:w="250" w:type="dxa"/>
            <w:gridSpan w:val="2"/>
            <w:tcBorders>
              <w:top w:val="single" w:sz="4" w:space="0" w:color="auto"/>
              <w:left w:val="nil"/>
              <w:bottom w:val="single" w:sz="4" w:space="0" w:color="auto"/>
              <w:right w:val="nil"/>
            </w:tcBorders>
            <w:shd w:val="clear" w:color="000000" w:fill="FFFF99"/>
            <w:noWrap/>
            <w:vAlign w:val="bottom"/>
            <w:hideMark/>
          </w:tcPr>
          <w:p w:rsidR="00F9470A" w:rsidRPr="00F9470A" w:rsidRDefault="00F9470A">
            <w:pPr>
              <w:jc w:val="center"/>
              <w:rPr>
                <w:rFonts w:ascii="Arial" w:hAnsi="Arial" w:cs="Arial"/>
                <w:color w:val="0000FF"/>
                <w:sz w:val="12"/>
                <w:szCs w:val="12"/>
              </w:rPr>
            </w:pPr>
            <w:r w:rsidRPr="00F9470A">
              <w:rPr>
                <w:rFonts w:ascii="Arial" w:hAnsi="Arial" w:cs="Arial"/>
                <w:color w:val="0000FF"/>
                <w:sz w:val="12"/>
                <w:szCs w:val="12"/>
              </w:rPr>
              <w:t> </w:t>
            </w:r>
          </w:p>
        </w:tc>
        <w:tc>
          <w:tcPr>
            <w:tcW w:w="978" w:type="dxa"/>
            <w:tcBorders>
              <w:top w:val="single" w:sz="4" w:space="0" w:color="auto"/>
              <w:left w:val="single" w:sz="4" w:space="0" w:color="auto"/>
              <w:bottom w:val="single" w:sz="4" w:space="0" w:color="auto"/>
              <w:right w:val="single" w:sz="4" w:space="0" w:color="auto"/>
            </w:tcBorders>
            <w:shd w:val="clear" w:color="000000" w:fill="FF99CC"/>
            <w:noWrap/>
            <w:vAlign w:val="bottom"/>
            <w:hideMark/>
          </w:tcPr>
          <w:p w:rsidR="00F9470A" w:rsidRPr="00F9470A" w:rsidRDefault="00F9470A">
            <w:pPr>
              <w:jc w:val="center"/>
              <w:rPr>
                <w:rFonts w:ascii="Arial" w:hAnsi="Arial" w:cs="Arial"/>
                <w:b/>
                <w:bCs/>
                <w:color w:val="0000FF"/>
                <w:sz w:val="12"/>
                <w:szCs w:val="12"/>
              </w:rPr>
            </w:pPr>
            <w:r w:rsidRPr="00F9470A">
              <w:rPr>
                <w:rFonts w:ascii="Arial" w:hAnsi="Arial" w:cs="Arial"/>
                <w:b/>
                <w:bCs/>
                <w:color w:val="0000FF"/>
                <w:sz w:val="12"/>
                <w:szCs w:val="12"/>
              </w:rPr>
              <w:t>£182,242</w:t>
            </w:r>
          </w:p>
        </w:tc>
        <w:tc>
          <w:tcPr>
            <w:tcW w:w="648" w:type="dxa"/>
            <w:tcBorders>
              <w:top w:val="single" w:sz="4" w:space="0" w:color="auto"/>
              <w:left w:val="nil"/>
              <w:bottom w:val="single" w:sz="4" w:space="0" w:color="auto"/>
              <w:right w:val="nil"/>
            </w:tcBorders>
            <w:shd w:val="clear" w:color="000000" w:fill="FF99CC"/>
            <w:noWrap/>
            <w:vAlign w:val="bottom"/>
            <w:hideMark/>
          </w:tcPr>
          <w:p w:rsidR="00F9470A" w:rsidRPr="00F9470A" w:rsidRDefault="00F9470A">
            <w:pPr>
              <w:jc w:val="center"/>
              <w:rPr>
                <w:rFonts w:ascii="Arial" w:hAnsi="Arial" w:cs="Arial"/>
                <w:color w:val="0000FF"/>
                <w:sz w:val="12"/>
                <w:szCs w:val="12"/>
              </w:rPr>
            </w:pPr>
            <w:r w:rsidRPr="00F9470A">
              <w:rPr>
                <w:rFonts w:ascii="Arial" w:hAnsi="Arial" w:cs="Arial"/>
                <w:color w:val="0000FF"/>
                <w:sz w:val="12"/>
                <w:szCs w:val="12"/>
              </w:rPr>
              <w:t> </w:t>
            </w:r>
          </w:p>
        </w:tc>
        <w:tc>
          <w:tcPr>
            <w:tcW w:w="1134" w:type="dxa"/>
            <w:gridSpan w:val="2"/>
            <w:tcBorders>
              <w:top w:val="single" w:sz="4" w:space="0" w:color="auto"/>
              <w:left w:val="single" w:sz="12" w:space="0" w:color="auto"/>
              <w:bottom w:val="single" w:sz="4" w:space="0" w:color="auto"/>
              <w:right w:val="single" w:sz="4" w:space="0" w:color="auto"/>
            </w:tcBorders>
            <w:shd w:val="clear" w:color="000000" w:fill="FABF8F"/>
            <w:noWrap/>
            <w:vAlign w:val="bottom"/>
            <w:hideMark/>
          </w:tcPr>
          <w:p w:rsidR="00F9470A" w:rsidRPr="00F9470A" w:rsidRDefault="00F9470A">
            <w:pPr>
              <w:jc w:val="center"/>
              <w:rPr>
                <w:rFonts w:ascii="Arial" w:hAnsi="Arial" w:cs="Arial"/>
                <w:b/>
                <w:bCs/>
                <w:color w:val="0000FF"/>
                <w:sz w:val="12"/>
                <w:szCs w:val="12"/>
              </w:rPr>
            </w:pPr>
            <w:r w:rsidRPr="00F9470A">
              <w:rPr>
                <w:rFonts w:ascii="Arial" w:hAnsi="Arial" w:cs="Arial"/>
                <w:b/>
                <w:bCs/>
                <w:color w:val="0000FF"/>
                <w:sz w:val="12"/>
                <w:szCs w:val="12"/>
              </w:rPr>
              <w:t>£184,678</w:t>
            </w:r>
          </w:p>
        </w:tc>
        <w:tc>
          <w:tcPr>
            <w:tcW w:w="637" w:type="dxa"/>
            <w:tcBorders>
              <w:top w:val="single" w:sz="4" w:space="0" w:color="auto"/>
              <w:left w:val="nil"/>
              <w:bottom w:val="single" w:sz="4" w:space="0" w:color="auto"/>
              <w:right w:val="single" w:sz="12" w:space="0" w:color="auto"/>
            </w:tcBorders>
            <w:shd w:val="clear" w:color="000000" w:fill="FABF8F"/>
            <w:noWrap/>
            <w:vAlign w:val="bottom"/>
            <w:hideMark/>
          </w:tcPr>
          <w:p w:rsidR="00F9470A" w:rsidRPr="00F9470A" w:rsidRDefault="00F9470A">
            <w:pPr>
              <w:jc w:val="center"/>
              <w:rPr>
                <w:rFonts w:ascii="Arial" w:hAnsi="Arial" w:cs="Arial"/>
                <w:color w:val="0000FF"/>
                <w:sz w:val="12"/>
                <w:szCs w:val="12"/>
              </w:rPr>
            </w:pPr>
            <w:r w:rsidRPr="00F9470A">
              <w:rPr>
                <w:rFonts w:ascii="Arial" w:hAnsi="Arial" w:cs="Arial"/>
                <w:color w:val="0000FF"/>
                <w:sz w:val="12"/>
                <w:szCs w:val="12"/>
              </w:rPr>
              <w:t> </w:t>
            </w:r>
          </w:p>
        </w:tc>
        <w:tc>
          <w:tcPr>
            <w:tcW w:w="1064"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F9470A" w:rsidRPr="00F9470A" w:rsidRDefault="00F9470A">
            <w:pPr>
              <w:jc w:val="center"/>
              <w:rPr>
                <w:rFonts w:ascii="Arial" w:hAnsi="Arial" w:cs="Arial"/>
                <w:b/>
                <w:bCs/>
                <w:color w:val="0000FF"/>
                <w:sz w:val="12"/>
                <w:szCs w:val="12"/>
              </w:rPr>
            </w:pPr>
            <w:r w:rsidRPr="00F9470A">
              <w:rPr>
                <w:rFonts w:ascii="Arial" w:hAnsi="Arial" w:cs="Arial"/>
                <w:b/>
                <w:bCs/>
                <w:color w:val="0000FF"/>
                <w:sz w:val="12"/>
                <w:szCs w:val="12"/>
              </w:rPr>
              <w:t>£229,513</w:t>
            </w:r>
          </w:p>
        </w:tc>
        <w:tc>
          <w:tcPr>
            <w:tcW w:w="709" w:type="dxa"/>
            <w:tcBorders>
              <w:top w:val="single" w:sz="4" w:space="0" w:color="auto"/>
              <w:left w:val="nil"/>
              <w:bottom w:val="single" w:sz="4" w:space="0" w:color="auto"/>
              <w:right w:val="single" w:sz="4" w:space="0" w:color="auto"/>
            </w:tcBorders>
            <w:shd w:val="clear" w:color="000000" w:fill="FFFF00"/>
            <w:noWrap/>
            <w:vAlign w:val="bottom"/>
            <w:hideMark/>
          </w:tcPr>
          <w:p w:rsidR="00F9470A" w:rsidRPr="00F9470A" w:rsidRDefault="00F9470A">
            <w:pPr>
              <w:jc w:val="center"/>
              <w:rPr>
                <w:rFonts w:ascii="Arial" w:hAnsi="Arial" w:cs="Arial"/>
                <w:color w:val="0000FF"/>
                <w:sz w:val="12"/>
                <w:szCs w:val="12"/>
              </w:rPr>
            </w:pPr>
            <w:r w:rsidRPr="00F9470A">
              <w:rPr>
                <w:rFonts w:ascii="Arial" w:hAnsi="Arial" w:cs="Arial"/>
                <w:color w:val="0000FF"/>
                <w:sz w:val="12"/>
                <w:szCs w:val="12"/>
              </w:rPr>
              <w:t> </w:t>
            </w:r>
          </w:p>
        </w:tc>
        <w:tc>
          <w:tcPr>
            <w:tcW w:w="884" w:type="dxa"/>
            <w:gridSpan w:val="2"/>
            <w:tcBorders>
              <w:top w:val="single" w:sz="4" w:space="0" w:color="auto"/>
              <w:left w:val="nil"/>
              <w:bottom w:val="single" w:sz="4" w:space="0" w:color="auto"/>
              <w:right w:val="single" w:sz="4" w:space="0" w:color="auto"/>
            </w:tcBorders>
            <w:shd w:val="clear" w:color="000000" w:fill="CC99FF"/>
            <w:noWrap/>
            <w:vAlign w:val="bottom"/>
            <w:hideMark/>
          </w:tcPr>
          <w:p w:rsidR="00F9470A" w:rsidRPr="00F9470A" w:rsidRDefault="00F9470A">
            <w:pPr>
              <w:jc w:val="center"/>
              <w:rPr>
                <w:rFonts w:ascii="Arial" w:hAnsi="Arial" w:cs="Arial"/>
                <w:b/>
                <w:bCs/>
                <w:color w:val="0000FF"/>
                <w:sz w:val="12"/>
                <w:szCs w:val="12"/>
              </w:rPr>
            </w:pPr>
            <w:r w:rsidRPr="00F9470A">
              <w:rPr>
                <w:rFonts w:ascii="Arial" w:hAnsi="Arial" w:cs="Arial"/>
                <w:b/>
                <w:bCs/>
                <w:color w:val="0000FF"/>
                <w:sz w:val="12"/>
                <w:szCs w:val="12"/>
              </w:rPr>
              <w:t>£234,842</w:t>
            </w:r>
          </w:p>
        </w:tc>
        <w:tc>
          <w:tcPr>
            <w:tcW w:w="675" w:type="dxa"/>
            <w:tcBorders>
              <w:top w:val="single" w:sz="4" w:space="0" w:color="auto"/>
              <w:left w:val="nil"/>
              <w:bottom w:val="single" w:sz="4" w:space="0" w:color="auto"/>
              <w:right w:val="single" w:sz="4" w:space="0" w:color="auto"/>
            </w:tcBorders>
            <w:shd w:val="clear" w:color="000000" w:fill="CC99FF"/>
            <w:noWrap/>
            <w:vAlign w:val="bottom"/>
            <w:hideMark/>
          </w:tcPr>
          <w:p w:rsidR="00F9470A" w:rsidRPr="00F9470A" w:rsidRDefault="00F9470A">
            <w:pPr>
              <w:jc w:val="center"/>
              <w:rPr>
                <w:rFonts w:ascii="Arial" w:hAnsi="Arial" w:cs="Arial"/>
                <w:color w:val="0000FF"/>
                <w:sz w:val="12"/>
                <w:szCs w:val="12"/>
              </w:rPr>
            </w:pPr>
            <w:r w:rsidRPr="00F9470A">
              <w:rPr>
                <w:rFonts w:ascii="Arial" w:hAnsi="Arial" w:cs="Arial"/>
                <w:color w:val="0000FF"/>
                <w:sz w:val="12"/>
                <w:szCs w:val="12"/>
              </w:rPr>
              <w:t> </w:t>
            </w:r>
          </w:p>
        </w:tc>
        <w:tc>
          <w:tcPr>
            <w:tcW w:w="884" w:type="dxa"/>
            <w:gridSpan w:val="2"/>
            <w:tcBorders>
              <w:top w:val="single" w:sz="4" w:space="0" w:color="auto"/>
              <w:left w:val="nil"/>
              <w:bottom w:val="single" w:sz="4" w:space="0" w:color="auto"/>
              <w:right w:val="single" w:sz="4" w:space="0" w:color="auto"/>
            </w:tcBorders>
            <w:shd w:val="clear" w:color="000000" w:fill="C4D79B"/>
            <w:noWrap/>
            <w:vAlign w:val="bottom"/>
            <w:hideMark/>
          </w:tcPr>
          <w:p w:rsidR="00F9470A" w:rsidRPr="00F9470A" w:rsidRDefault="00F9470A">
            <w:pPr>
              <w:jc w:val="center"/>
              <w:rPr>
                <w:rFonts w:ascii="Arial" w:hAnsi="Arial" w:cs="Arial"/>
                <w:b/>
                <w:bCs/>
                <w:color w:val="0000FF"/>
                <w:sz w:val="12"/>
                <w:szCs w:val="12"/>
              </w:rPr>
            </w:pPr>
            <w:r w:rsidRPr="00F9470A">
              <w:rPr>
                <w:rFonts w:ascii="Arial" w:hAnsi="Arial" w:cs="Arial"/>
                <w:b/>
                <w:bCs/>
                <w:color w:val="0000FF"/>
                <w:sz w:val="12"/>
                <w:szCs w:val="12"/>
              </w:rPr>
              <w:t>£242,551</w:t>
            </w:r>
          </w:p>
        </w:tc>
        <w:tc>
          <w:tcPr>
            <w:tcW w:w="676" w:type="dxa"/>
            <w:tcBorders>
              <w:top w:val="single" w:sz="4" w:space="0" w:color="auto"/>
              <w:left w:val="nil"/>
              <w:bottom w:val="single" w:sz="4" w:space="0" w:color="auto"/>
              <w:right w:val="single" w:sz="4" w:space="0" w:color="auto"/>
            </w:tcBorders>
            <w:shd w:val="clear" w:color="000000" w:fill="C4D79B"/>
            <w:noWrap/>
            <w:vAlign w:val="bottom"/>
            <w:hideMark/>
          </w:tcPr>
          <w:p w:rsidR="00F9470A" w:rsidRPr="00F9470A" w:rsidRDefault="00F9470A">
            <w:pPr>
              <w:jc w:val="center"/>
              <w:rPr>
                <w:rFonts w:ascii="Arial" w:hAnsi="Arial" w:cs="Arial"/>
                <w:color w:val="0000FF"/>
                <w:sz w:val="12"/>
                <w:szCs w:val="12"/>
              </w:rPr>
            </w:pPr>
            <w:r w:rsidRPr="00F9470A">
              <w:rPr>
                <w:rFonts w:ascii="Arial" w:hAnsi="Arial" w:cs="Arial"/>
                <w:color w:val="0000FF"/>
                <w:sz w:val="12"/>
                <w:szCs w:val="12"/>
              </w:rPr>
              <w:t> </w:t>
            </w:r>
          </w:p>
        </w:tc>
        <w:tc>
          <w:tcPr>
            <w:tcW w:w="992" w:type="dxa"/>
            <w:gridSpan w:val="2"/>
            <w:tcBorders>
              <w:top w:val="single" w:sz="4" w:space="0" w:color="auto"/>
              <w:left w:val="nil"/>
              <w:bottom w:val="single" w:sz="4" w:space="0" w:color="auto"/>
              <w:right w:val="single" w:sz="4" w:space="0" w:color="auto"/>
            </w:tcBorders>
            <w:shd w:val="clear" w:color="000000" w:fill="B8CCE4"/>
            <w:noWrap/>
            <w:vAlign w:val="bottom"/>
            <w:hideMark/>
          </w:tcPr>
          <w:p w:rsidR="00F9470A" w:rsidRPr="00F9470A" w:rsidRDefault="00F9470A">
            <w:pPr>
              <w:jc w:val="center"/>
              <w:rPr>
                <w:rFonts w:ascii="Arial" w:hAnsi="Arial" w:cs="Arial"/>
                <w:b/>
                <w:bCs/>
                <w:color w:val="0000FF"/>
                <w:sz w:val="12"/>
                <w:szCs w:val="12"/>
              </w:rPr>
            </w:pPr>
            <w:r w:rsidRPr="00F9470A">
              <w:rPr>
                <w:rFonts w:ascii="Arial" w:hAnsi="Arial" w:cs="Arial"/>
                <w:b/>
                <w:bCs/>
                <w:color w:val="0000FF"/>
                <w:sz w:val="12"/>
                <w:szCs w:val="12"/>
              </w:rPr>
              <w:t>£252,119</w:t>
            </w:r>
          </w:p>
        </w:tc>
        <w:tc>
          <w:tcPr>
            <w:tcW w:w="637" w:type="dxa"/>
            <w:tcBorders>
              <w:top w:val="single" w:sz="4" w:space="0" w:color="auto"/>
              <w:left w:val="nil"/>
              <w:bottom w:val="single" w:sz="4" w:space="0" w:color="auto"/>
              <w:right w:val="single" w:sz="4" w:space="0" w:color="auto"/>
            </w:tcBorders>
            <w:shd w:val="clear" w:color="000000" w:fill="B8CCE4"/>
            <w:noWrap/>
            <w:vAlign w:val="bottom"/>
            <w:hideMark/>
          </w:tcPr>
          <w:p w:rsidR="00F9470A" w:rsidRPr="00F9470A" w:rsidRDefault="00F9470A">
            <w:pPr>
              <w:jc w:val="center"/>
              <w:rPr>
                <w:rFonts w:ascii="Arial" w:hAnsi="Arial" w:cs="Arial"/>
                <w:color w:val="0000FF"/>
                <w:sz w:val="12"/>
                <w:szCs w:val="12"/>
              </w:rPr>
            </w:pPr>
            <w:r w:rsidRPr="00F9470A">
              <w:rPr>
                <w:rFonts w:ascii="Arial" w:hAnsi="Arial" w:cs="Arial"/>
                <w:color w:val="0000FF"/>
                <w:sz w:val="12"/>
                <w:szCs w:val="12"/>
              </w:rPr>
              <w:t> </w:t>
            </w:r>
          </w:p>
        </w:tc>
        <w:tc>
          <w:tcPr>
            <w:tcW w:w="884" w:type="dxa"/>
            <w:gridSpan w:val="2"/>
            <w:tcBorders>
              <w:top w:val="single" w:sz="4" w:space="0" w:color="auto"/>
              <w:left w:val="nil"/>
              <w:bottom w:val="single" w:sz="4" w:space="0" w:color="auto"/>
              <w:right w:val="single" w:sz="4" w:space="0" w:color="auto"/>
            </w:tcBorders>
            <w:shd w:val="clear" w:color="000000" w:fill="FFFF99"/>
            <w:noWrap/>
            <w:vAlign w:val="bottom"/>
            <w:hideMark/>
          </w:tcPr>
          <w:p w:rsidR="00F9470A" w:rsidRPr="00F9470A" w:rsidRDefault="00F9470A">
            <w:pPr>
              <w:jc w:val="center"/>
              <w:rPr>
                <w:rFonts w:ascii="Arial" w:hAnsi="Arial" w:cs="Arial"/>
                <w:b/>
                <w:bCs/>
                <w:color w:val="0000FF"/>
                <w:sz w:val="12"/>
                <w:szCs w:val="12"/>
              </w:rPr>
            </w:pPr>
            <w:r w:rsidRPr="00F9470A">
              <w:rPr>
                <w:rFonts w:ascii="Arial" w:hAnsi="Arial" w:cs="Arial"/>
                <w:b/>
                <w:bCs/>
                <w:color w:val="0000FF"/>
                <w:sz w:val="12"/>
                <w:szCs w:val="12"/>
              </w:rPr>
              <w:t>£262,132</w:t>
            </w:r>
          </w:p>
        </w:tc>
        <w:tc>
          <w:tcPr>
            <w:tcW w:w="747" w:type="dxa"/>
            <w:tcBorders>
              <w:top w:val="single" w:sz="4" w:space="0" w:color="auto"/>
              <w:left w:val="nil"/>
              <w:bottom w:val="single" w:sz="4" w:space="0" w:color="auto"/>
              <w:right w:val="single" w:sz="4" w:space="0" w:color="auto"/>
            </w:tcBorders>
            <w:shd w:val="clear" w:color="000000" w:fill="FFFF99"/>
            <w:noWrap/>
            <w:vAlign w:val="bottom"/>
            <w:hideMark/>
          </w:tcPr>
          <w:p w:rsidR="00F9470A" w:rsidRPr="00F9470A" w:rsidRDefault="00F9470A">
            <w:pPr>
              <w:jc w:val="center"/>
              <w:rPr>
                <w:rFonts w:ascii="Arial" w:hAnsi="Arial" w:cs="Arial"/>
                <w:color w:val="0000FF"/>
                <w:sz w:val="12"/>
                <w:szCs w:val="12"/>
              </w:rPr>
            </w:pPr>
            <w:r w:rsidRPr="00F9470A">
              <w:rPr>
                <w:rFonts w:ascii="Arial" w:hAnsi="Arial" w:cs="Arial"/>
                <w:color w:val="0000FF"/>
                <w:sz w:val="12"/>
                <w:szCs w:val="12"/>
              </w:rPr>
              <w:t> </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color w:val="0000FF"/>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88"/>
        </w:trPr>
        <w:tc>
          <w:tcPr>
            <w:tcW w:w="2408" w:type="dxa"/>
            <w:tcBorders>
              <w:top w:val="nil"/>
              <w:left w:val="single" w:sz="4" w:space="0" w:color="auto"/>
              <w:bottom w:val="nil"/>
              <w:right w:val="single" w:sz="4" w:space="0" w:color="auto"/>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 xml:space="preserve">New Assets </w:t>
            </w:r>
          </w:p>
        </w:tc>
        <w:tc>
          <w:tcPr>
            <w:tcW w:w="249" w:type="dxa"/>
            <w:tcBorders>
              <w:top w:val="nil"/>
              <w:left w:val="single" w:sz="4" w:space="0" w:color="auto"/>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250" w:type="dxa"/>
            <w:gridSpan w:val="2"/>
            <w:tcBorders>
              <w:top w:val="nil"/>
              <w:left w:val="nil"/>
              <w:bottom w:val="nil"/>
              <w:right w:val="nil"/>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978" w:type="dxa"/>
            <w:tcBorders>
              <w:top w:val="nil"/>
              <w:left w:val="single" w:sz="4" w:space="0" w:color="auto"/>
              <w:bottom w:val="nil"/>
              <w:right w:val="single" w:sz="4" w:space="0" w:color="auto"/>
            </w:tcBorders>
            <w:shd w:val="clear" w:color="000000" w:fill="FF99CC"/>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£14,634</w:t>
            </w:r>
          </w:p>
        </w:tc>
        <w:tc>
          <w:tcPr>
            <w:tcW w:w="648" w:type="dxa"/>
            <w:tcBorders>
              <w:top w:val="nil"/>
              <w:left w:val="nil"/>
              <w:bottom w:val="nil"/>
              <w:right w:val="nil"/>
            </w:tcBorders>
            <w:shd w:val="clear" w:color="000000" w:fill="FF99CC"/>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14%</w:t>
            </w:r>
          </w:p>
        </w:tc>
        <w:tc>
          <w:tcPr>
            <w:tcW w:w="1134" w:type="dxa"/>
            <w:gridSpan w:val="2"/>
            <w:tcBorders>
              <w:top w:val="nil"/>
              <w:left w:val="single" w:sz="12" w:space="0" w:color="auto"/>
              <w:bottom w:val="nil"/>
              <w:right w:val="single" w:sz="4" w:space="0" w:color="auto"/>
            </w:tcBorders>
            <w:shd w:val="clear" w:color="000000" w:fill="FABF8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£17,741</w:t>
            </w:r>
          </w:p>
        </w:tc>
        <w:tc>
          <w:tcPr>
            <w:tcW w:w="637" w:type="dxa"/>
            <w:tcBorders>
              <w:top w:val="nil"/>
              <w:left w:val="nil"/>
              <w:bottom w:val="nil"/>
              <w:right w:val="single" w:sz="12" w:space="0" w:color="auto"/>
            </w:tcBorders>
            <w:shd w:val="clear" w:color="000000" w:fill="FABF8F"/>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21%</w:t>
            </w:r>
          </w:p>
        </w:tc>
        <w:tc>
          <w:tcPr>
            <w:tcW w:w="1064" w:type="dxa"/>
            <w:gridSpan w:val="2"/>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£21,600</w:t>
            </w:r>
          </w:p>
        </w:tc>
        <w:tc>
          <w:tcPr>
            <w:tcW w:w="709" w:type="dxa"/>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22%</w:t>
            </w:r>
          </w:p>
        </w:tc>
        <w:tc>
          <w:tcPr>
            <w:tcW w:w="884" w:type="dxa"/>
            <w:gridSpan w:val="2"/>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£18,800</w:t>
            </w:r>
          </w:p>
        </w:tc>
        <w:tc>
          <w:tcPr>
            <w:tcW w:w="675" w:type="dxa"/>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-13%</w:t>
            </w:r>
          </w:p>
        </w:tc>
        <w:tc>
          <w:tcPr>
            <w:tcW w:w="884" w:type="dxa"/>
            <w:gridSpan w:val="2"/>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£18,800</w:t>
            </w:r>
          </w:p>
        </w:tc>
        <w:tc>
          <w:tcPr>
            <w:tcW w:w="676" w:type="dxa"/>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992" w:type="dxa"/>
            <w:gridSpan w:val="2"/>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£18,800</w:t>
            </w:r>
          </w:p>
        </w:tc>
        <w:tc>
          <w:tcPr>
            <w:tcW w:w="637" w:type="dxa"/>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884" w:type="dxa"/>
            <w:gridSpan w:val="2"/>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£18,800</w:t>
            </w:r>
          </w:p>
        </w:tc>
        <w:tc>
          <w:tcPr>
            <w:tcW w:w="747" w:type="dxa"/>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color w:val="000000"/>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68"/>
        </w:trPr>
        <w:tc>
          <w:tcPr>
            <w:tcW w:w="2408" w:type="dxa"/>
            <w:tcBorders>
              <w:top w:val="nil"/>
              <w:left w:val="single" w:sz="4" w:space="0" w:color="auto"/>
              <w:bottom w:val="nil"/>
              <w:right w:val="single" w:sz="4" w:space="0" w:color="auto"/>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Planned Projects</w:t>
            </w:r>
          </w:p>
        </w:tc>
        <w:tc>
          <w:tcPr>
            <w:tcW w:w="249" w:type="dxa"/>
            <w:tcBorders>
              <w:top w:val="nil"/>
              <w:left w:val="single" w:sz="4" w:space="0" w:color="auto"/>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250" w:type="dxa"/>
            <w:gridSpan w:val="2"/>
            <w:tcBorders>
              <w:top w:val="nil"/>
              <w:left w:val="nil"/>
              <w:bottom w:val="nil"/>
              <w:right w:val="nil"/>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978" w:type="dxa"/>
            <w:tcBorders>
              <w:top w:val="nil"/>
              <w:left w:val="single" w:sz="4" w:space="0" w:color="auto"/>
              <w:bottom w:val="single" w:sz="12" w:space="0" w:color="auto"/>
              <w:right w:val="single" w:sz="4" w:space="0" w:color="auto"/>
            </w:tcBorders>
            <w:shd w:val="clear" w:color="000000" w:fill="FF99CC"/>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£45,992</w:t>
            </w:r>
          </w:p>
        </w:tc>
        <w:tc>
          <w:tcPr>
            <w:tcW w:w="648" w:type="dxa"/>
            <w:tcBorders>
              <w:top w:val="nil"/>
              <w:left w:val="nil"/>
              <w:bottom w:val="single" w:sz="12" w:space="0" w:color="auto"/>
              <w:right w:val="nil"/>
            </w:tcBorders>
            <w:shd w:val="clear" w:color="000000" w:fill="FF99CC"/>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1134" w:type="dxa"/>
            <w:gridSpan w:val="2"/>
            <w:tcBorders>
              <w:top w:val="nil"/>
              <w:left w:val="single" w:sz="12" w:space="0" w:color="auto"/>
              <w:bottom w:val="nil"/>
              <w:right w:val="single" w:sz="4" w:space="0" w:color="auto"/>
            </w:tcBorders>
            <w:shd w:val="clear" w:color="000000" w:fill="FABF8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£15,597</w:t>
            </w:r>
          </w:p>
        </w:tc>
        <w:tc>
          <w:tcPr>
            <w:tcW w:w="637" w:type="dxa"/>
            <w:tcBorders>
              <w:top w:val="nil"/>
              <w:left w:val="nil"/>
              <w:bottom w:val="nil"/>
              <w:right w:val="single" w:sz="12" w:space="0" w:color="auto"/>
            </w:tcBorders>
            <w:shd w:val="clear" w:color="000000" w:fill="FABF8F"/>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1064" w:type="dxa"/>
            <w:gridSpan w:val="2"/>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£0</w:t>
            </w:r>
          </w:p>
        </w:tc>
        <w:tc>
          <w:tcPr>
            <w:tcW w:w="709" w:type="dxa"/>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884" w:type="dxa"/>
            <w:gridSpan w:val="2"/>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£0</w:t>
            </w:r>
          </w:p>
        </w:tc>
        <w:tc>
          <w:tcPr>
            <w:tcW w:w="675" w:type="dxa"/>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884" w:type="dxa"/>
            <w:gridSpan w:val="2"/>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£0</w:t>
            </w:r>
          </w:p>
        </w:tc>
        <w:tc>
          <w:tcPr>
            <w:tcW w:w="676" w:type="dxa"/>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992" w:type="dxa"/>
            <w:gridSpan w:val="2"/>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£0</w:t>
            </w:r>
          </w:p>
        </w:tc>
        <w:tc>
          <w:tcPr>
            <w:tcW w:w="637" w:type="dxa"/>
            <w:tcBorders>
              <w:top w:val="nil"/>
              <w:left w:val="nil"/>
              <w:bottom w:val="single" w:sz="12" w:space="0" w:color="auto"/>
              <w:right w:val="single" w:sz="4" w:space="0" w:color="auto"/>
            </w:tcBorders>
            <w:shd w:val="clear" w:color="000000" w:fill="B8CCE4"/>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884" w:type="dxa"/>
            <w:gridSpan w:val="2"/>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£0</w:t>
            </w:r>
          </w:p>
        </w:tc>
        <w:tc>
          <w:tcPr>
            <w:tcW w:w="747" w:type="dxa"/>
            <w:tcBorders>
              <w:top w:val="nil"/>
              <w:left w:val="nil"/>
              <w:bottom w:val="single" w:sz="12" w:space="0" w:color="auto"/>
              <w:right w:val="single" w:sz="4" w:space="0" w:color="auto"/>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color w:val="000000"/>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38"/>
        </w:trPr>
        <w:tc>
          <w:tcPr>
            <w:tcW w:w="240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F9470A" w:rsidRPr="00F9470A" w:rsidRDefault="00F9470A">
            <w:pPr>
              <w:rPr>
                <w:rFonts w:ascii="Arial" w:hAnsi="Arial" w:cs="Arial"/>
                <w:b/>
                <w:bCs/>
                <w:sz w:val="12"/>
                <w:szCs w:val="12"/>
              </w:rPr>
            </w:pPr>
            <w:r w:rsidRPr="00F9470A">
              <w:rPr>
                <w:rFonts w:ascii="Arial" w:hAnsi="Arial" w:cs="Arial"/>
                <w:b/>
                <w:bCs/>
                <w:sz w:val="12"/>
                <w:szCs w:val="12"/>
              </w:rPr>
              <w:t>Total Expenditure as per budget overleaf</w:t>
            </w:r>
          </w:p>
        </w:tc>
        <w:tc>
          <w:tcPr>
            <w:tcW w:w="249" w:type="dxa"/>
            <w:tcBorders>
              <w:top w:val="single" w:sz="12" w:space="0" w:color="auto"/>
              <w:left w:val="single" w:sz="4" w:space="0" w:color="auto"/>
              <w:bottom w:val="single" w:sz="12" w:space="0" w:color="auto"/>
              <w:right w:val="single" w:sz="4" w:space="0" w:color="auto"/>
            </w:tcBorders>
            <w:shd w:val="clear" w:color="000000" w:fill="FFFF99"/>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 </w:t>
            </w:r>
          </w:p>
        </w:tc>
        <w:tc>
          <w:tcPr>
            <w:tcW w:w="250" w:type="dxa"/>
            <w:gridSpan w:val="2"/>
            <w:tcBorders>
              <w:top w:val="single" w:sz="12" w:space="0" w:color="auto"/>
              <w:left w:val="nil"/>
              <w:bottom w:val="single" w:sz="12" w:space="0" w:color="auto"/>
              <w:right w:val="single" w:sz="12" w:space="0" w:color="auto"/>
            </w:tcBorders>
            <w:shd w:val="clear" w:color="000000" w:fill="FFFF99"/>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 </w:t>
            </w:r>
          </w:p>
        </w:tc>
        <w:tc>
          <w:tcPr>
            <w:tcW w:w="978" w:type="dxa"/>
            <w:tcBorders>
              <w:top w:val="nil"/>
              <w:left w:val="nil"/>
              <w:bottom w:val="single" w:sz="12" w:space="0" w:color="auto"/>
              <w:right w:val="single" w:sz="4" w:space="0" w:color="auto"/>
            </w:tcBorders>
            <w:shd w:val="clear" w:color="000000" w:fill="FF99CC"/>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£853,835</w:t>
            </w:r>
          </w:p>
        </w:tc>
        <w:tc>
          <w:tcPr>
            <w:tcW w:w="648" w:type="dxa"/>
            <w:tcBorders>
              <w:top w:val="nil"/>
              <w:left w:val="nil"/>
              <w:bottom w:val="single" w:sz="12" w:space="0" w:color="auto"/>
              <w:right w:val="nil"/>
            </w:tcBorders>
            <w:shd w:val="clear" w:color="000000" w:fill="FF99CC"/>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-24%</w:t>
            </w:r>
          </w:p>
        </w:tc>
        <w:tc>
          <w:tcPr>
            <w:tcW w:w="1134" w:type="dxa"/>
            <w:gridSpan w:val="2"/>
            <w:tcBorders>
              <w:top w:val="single" w:sz="12" w:space="0" w:color="auto"/>
              <w:left w:val="single" w:sz="12" w:space="0" w:color="auto"/>
              <w:bottom w:val="single" w:sz="12" w:space="0" w:color="auto"/>
              <w:right w:val="single" w:sz="4" w:space="0" w:color="auto"/>
            </w:tcBorders>
            <w:shd w:val="clear" w:color="000000" w:fill="FABF8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£853,932</w:t>
            </w:r>
          </w:p>
        </w:tc>
        <w:tc>
          <w:tcPr>
            <w:tcW w:w="637" w:type="dxa"/>
            <w:tcBorders>
              <w:top w:val="single" w:sz="12" w:space="0" w:color="auto"/>
              <w:left w:val="nil"/>
              <w:bottom w:val="single" w:sz="12" w:space="0" w:color="auto"/>
              <w:right w:val="single" w:sz="12" w:space="0" w:color="auto"/>
            </w:tcBorders>
            <w:shd w:val="clear" w:color="000000" w:fill="FABF8F"/>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0%</w:t>
            </w:r>
          </w:p>
        </w:tc>
        <w:tc>
          <w:tcPr>
            <w:tcW w:w="1064" w:type="dxa"/>
            <w:gridSpan w:val="2"/>
            <w:tcBorders>
              <w:top w:val="single" w:sz="12" w:space="0" w:color="auto"/>
              <w:left w:val="nil"/>
              <w:bottom w:val="single" w:sz="12" w:space="0" w:color="auto"/>
              <w:right w:val="single" w:sz="4" w:space="0" w:color="auto"/>
            </w:tcBorders>
            <w:shd w:val="clear" w:color="000000" w:fill="FFFF00"/>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£1,024,825</w:t>
            </w:r>
          </w:p>
        </w:tc>
        <w:tc>
          <w:tcPr>
            <w:tcW w:w="709" w:type="dxa"/>
            <w:tcBorders>
              <w:top w:val="single" w:sz="12" w:space="0" w:color="auto"/>
              <w:left w:val="nil"/>
              <w:bottom w:val="single" w:sz="12" w:space="0" w:color="auto"/>
              <w:right w:val="single" w:sz="12" w:space="0" w:color="auto"/>
            </w:tcBorders>
            <w:shd w:val="clear" w:color="000000" w:fill="FFFF00"/>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20%</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CC99F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£1,028,655</w:t>
            </w:r>
          </w:p>
        </w:tc>
        <w:tc>
          <w:tcPr>
            <w:tcW w:w="675" w:type="dxa"/>
            <w:tcBorders>
              <w:top w:val="single" w:sz="12" w:space="0" w:color="auto"/>
              <w:left w:val="nil"/>
              <w:bottom w:val="single" w:sz="12" w:space="0" w:color="auto"/>
              <w:right w:val="single" w:sz="12" w:space="0" w:color="auto"/>
            </w:tcBorders>
            <w:shd w:val="clear" w:color="000000" w:fill="CC99FF"/>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0%</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C4D79B"/>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£1,054,006</w:t>
            </w:r>
          </w:p>
        </w:tc>
        <w:tc>
          <w:tcPr>
            <w:tcW w:w="676" w:type="dxa"/>
            <w:tcBorders>
              <w:top w:val="single" w:sz="12" w:space="0" w:color="auto"/>
              <w:left w:val="nil"/>
              <w:bottom w:val="single" w:sz="12" w:space="0" w:color="auto"/>
              <w:right w:val="single" w:sz="12" w:space="0" w:color="auto"/>
            </w:tcBorders>
            <w:shd w:val="clear" w:color="000000" w:fill="C4D79B"/>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2%</w:t>
            </w:r>
          </w:p>
        </w:tc>
        <w:tc>
          <w:tcPr>
            <w:tcW w:w="992" w:type="dxa"/>
            <w:gridSpan w:val="2"/>
            <w:tcBorders>
              <w:top w:val="single" w:sz="12" w:space="0" w:color="auto"/>
              <w:left w:val="single" w:sz="4" w:space="0" w:color="auto"/>
              <w:bottom w:val="single" w:sz="12" w:space="0" w:color="auto"/>
              <w:right w:val="single" w:sz="4" w:space="0" w:color="auto"/>
            </w:tcBorders>
            <w:shd w:val="clear" w:color="000000" w:fill="B8CCE4"/>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£1,080,446</w:t>
            </w:r>
          </w:p>
        </w:tc>
        <w:tc>
          <w:tcPr>
            <w:tcW w:w="637" w:type="dxa"/>
            <w:tcBorders>
              <w:top w:val="nil"/>
              <w:left w:val="nil"/>
              <w:bottom w:val="single" w:sz="12" w:space="0" w:color="auto"/>
              <w:right w:val="single" w:sz="12" w:space="0" w:color="auto"/>
            </w:tcBorders>
            <w:shd w:val="clear" w:color="000000" w:fill="B8CCE4"/>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3%</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FFFF99"/>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£1,084,140</w:t>
            </w:r>
          </w:p>
        </w:tc>
        <w:tc>
          <w:tcPr>
            <w:tcW w:w="747" w:type="dxa"/>
            <w:tcBorders>
              <w:top w:val="nil"/>
              <w:left w:val="nil"/>
              <w:bottom w:val="single" w:sz="12" w:space="0" w:color="auto"/>
              <w:right w:val="single" w:sz="12" w:space="0" w:color="auto"/>
            </w:tcBorders>
            <w:shd w:val="clear" w:color="000000" w:fill="FFFF99"/>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0%</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b/>
                <w:bCs/>
                <w:color w:val="000000"/>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42"/>
        </w:trPr>
        <w:tc>
          <w:tcPr>
            <w:tcW w:w="2408" w:type="dxa"/>
            <w:tcBorders>
              <w:top w:val="nil"/>
              <w:left w:val="single" w:sz="4" w:space="0" w:color="auto"/>
              <w:bottom w:val="nil"/>
              <w:right w:val="single" w:sz="4" w:space="0" w:color="auto"/>
            </w:tcBorders>
            <w:shd w:val="clear" w:color="auto" w:fill="auto"/>
            <w:vAlign w:val="bottom"/>
            <w:hideMark/>
          </w:tcPr>
          <w:p w:rsidR="00F9470A" w:rsidRPr="00F9470A" w:rsidRDefault="00F9470A">
            <w:pPr>
              <w:rPr>
                <w:rFonts w:ascii="Arial" w:hAnsi="Arial" w:cs="Arial"/>
                <w:color w:val="000000"/>
                <w:sz w:val="12"/>
                <w:szCs w:val="12"/>
              </w:rPr>
            </w:pPr>
            <w:r w:rsidRPr="00F9470A">
              <w:rPr>
                <w:rFonts w:ascii="Arial" w:hAnsi="Arial" w:cs="Arial"/>
                <w:color w:val="000000"/>
                <w:sz w:val="12"/>
                <w:szCs w:val="12"/>
              </w:rPr>
              <w:t>Adjustments to/from Reserves at Year End</w:t>
            </w:r>
          </w:p>
        </w:tc>
        <w:tc>
          <w:tcPr>
            <w:tcW w:w="249" w:type="dxa"/>
            <w:tcBorders>
              <w:top w:val="nil"/>
              <w:left w:val="single" w:sz="4" w:space="0" w:color="auto"/>
              <w:bottom w:val="nil"/>
              <w:right w:val="single" w:sz="4" w:space="0" w:color="auto"/>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250" w:type="dxa"/>
            <w:gridSpan w:val="2"/>
            <w:tcBorders>
              <w:top w:val="nil"/>
              <w:left w:val="nil"/>
              <w:bottom w:val="nil"/>
              <w:right w:val="nil"/>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978" w:type="dxa"/>
            <w:tcBorders>
              <w:top w:val="nil"/>
              <w:left w:val="single" w:sz="4" w:space="0" w:color="auto"/>
              <w:bottom w:val="single" w:sz="12" w:space="0" w:color="auto"/>
              <w:right w:val="single" w:sz="4" w:space="0" w:color="auto"/>
            </w:tcBorders>
            <w:shd w:val="clear" w:color="000000" w:fill="FF99CC"/>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£104,270</w:t>
            </w:r>
          </w:p>
        </w:tc>
        <w:tc>
          <w:tcPr>
            <w:tcW w:w="648" w:type="dxa"/>
            <w:tcBorders>
              <w:top w:val="nil"/>
              <w:left w:val="nil"/>
              <w:bottom w:val="single" w:sz="12" w:space="0" w:color="auto"/>
              <w:right w:val="nil"/>
            </w:tcBorders>
            <w:shd w:val="clear" w:color="000000" w:fill="FF99CC"/>
            <w:noWrap/>
            <w:vAlign w:val="bottom"/>
            <w:hideMark/>
          </w:tcPr>
          <w:p w:rsidR="00F9470A" w:rsidRPr="00F9470A" w:rsidRDefault="00F9470A">
            <w:pPr>
              <w:jc w:val="center"/>
              <w:rPr>
                <w:rFonts w:ascii="Arial" w:hAnsi="Arial" w:cs="Arial"/>
                <w:b/>
                <w:bCs/>
                <w:color w:val="FF0000"/>
                <w:sz w:val="12"/>
                <w:szCs w:val="12"/>
              </w:rPr>
            </w:pPr>
            <w:r w:rsidRPr="00F9470A">
              <w:rPr>
                <w:rFonts w:ascii="Arial" w:hAnsi="Arial" w:cs="Arial"/>
                <w:b/>
                <w:bCs/>
                <w:color w:val="FF0000"/>
                <w:sz w:val="12"/>
                <w:szCs w:val="12"/>
              </w:rPr>
              <w:t> </w:t>
            </w:r>
          </w:p>
        </w:tc>
        <w:tc>
          <w:tcPr>
            <w:tcW w:w="1134" w:type="dxa"/>
            <w:gridSpan w:val="2"/>
            <w:tcBorders>
              <w:top w:val="nil"/>
              <w:left w:val="single" w:sz="12" w:space="0" w:color="auto"/>
              <w:bottom w:val="nil"/>
              <w:right w:val="single" w:sz="4" w:space="0" w:color="auto"/>
            </w:tcBorders>
            <w:shd w:val="clear" w:color="000000" w:fill="FABF8F"/>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£97,911</w:t>
            </w:r>
          </w:p>
        </w:tc>
        <w:tc>
          <w:tcPr>
            <w:tcW w:w="637" w:type="dxa"/>
            <w:tcBorders>
              <w:top w:val="nil"/>
              <w:left w:val="nil"/>
              <w:bottom w:val="nil"/>
              <w:right w:val="single" w:sz="12" w:space="0" w:color="auto"/>
            </w:tcBorders>
            <w:shd w:val="clear" w:color="000000" w:fill="FABF8F"/>
            <w:noWrap/>
            <w:vAlign w:val="bottom"/>
            <w:hideMark/>
          </w:tcPr>
          <w:p w:rsidR="00F9470A" w:rsidRPr="00F9470A" w:rsidRDefault="00F9470A">
            <w:pPr>
              <w:jc w:val="center"/>
              <w:rPr>
                <w:rFonts w:ascii="Arial" w:hAnsi="Arial" w:cs="Arial"/>
                <w:b/>
                <w:bCs/>
                <w:color w:val="FF0000"/>
                <w:sz w:val="12"/>
                <w:szCs w:val="12"/>
              </w:rPr>
            </w:pPr>
            <w:r w:rsidRPr="00F9470A">
              <w:rPr>
                <w:rFonts w:ascii="Arial" w:hAnsi="Arial" w:cs="Arial"/>
                <w:b/>
                <w:bCs/>
                <w:color w:val="FF0000"/>
                <w:sz w:val="12"/>
                <w:szCs w:val="12"/>
              </w:rPr>
              <w:t> </w:t>
            </w:r>
          </w:p>
        </w:tc>
        <w:tc>
          <w:tcPr>
            <w:tcW w:w="1064" w:type="dxa"/>
            <w:gridSpan w:val="2"/>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-£72,015</w:t>
            </w:r>
          </w:p>
        </w:tc>
        <w:tc>
          <w:tcPr>
            <w:tcW w:w="709" w:type="dxa"/>
            <w:tcBorders>
              <w:top w:val="nil"/>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b/>
                <w:bCs/>
                <w:color w:val="FF0000"/>
                <w:sz w:val="12"/>
                <w:szCs w:val="12"/>
              </w:rPr>
            </w:pPr>
            <w:r w:rsidRPr="00F9470A">
              <w:rPr>
                <w:rFonts w:ascii="Arial" w:hAnsi="Arial" w:cs="Arial"/>
                <w:b/>
                <w:bCs/>
                <w:color w:val="FF0000"/>
                <w:sz w:val="12"/>
                <w:szCs w:val="12"/>
              </w:rPr>
              <w:t> </w:t>
            </w:r>
          </w:p>
        </w:tc>
        <w:tc>
          <w:tcPr>
            <w:tcW w:w="884" w:type="dxa"/>
            <w:gridSpan w:val="2"/>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-£58,200</w:t>
            </w:r>
          </w:p>
        </w:tc>
        <w:tc>
          <w:tcPr>
            <w:tcW w:w="675" w:type="dxa"/>
            <w:tcBorders>
              <w:top w:val="nil"/>
              <w:left w:val="nil"/>
              <w:bottom w:val="nil"/>
              <w:right w:val="single" w:sz="4" w:space="0" w:color="auto"/>
            </w:tcBorders>
            <w:shd w:val="clear" w:color="000000" w:fill="CC99FF"/>
            <w:noWrap/>
            <w:vAlign w:val="bottom"/>
            <w:hideMark/>
          </w:tcPr>
          <w:p w:rsidR="00F9470A" w:rsidRPr="00F9470A" w:rsidRDefault="00F9470A">
            <w:pPr>
              <w:jc w:val="center"/>
              <w:rPr>
                <w:rFonts w:ascii="Arial" w:hAnsi="Arial" w:cs="Arial"/>
                <w:b/>
                <w:bCs/>
                <w:color w:val="FF0000"/>
                <w:sz w:val="12"/>
                <w:szCs w:val="12"/>
              </w:rPr>
            </w:pPr>
            <w:r w:rsidRPr="00F9470A">
              <w:rPr>
                <w:rFonts w:ascii="Arial" w:hAnsi="Arial" w:cs="Arial"/>
                <w:b/>
                <w:bCs/>
                <w:color w:val="FF0000"/>
                <w:sz w:val="12"/>
                <w:szCs w:val="12"/>
              </w:rPr>
              <w:t> </w:t>
            </w:r>
          </w:p>
        </w:tc>
        <w:tc>
          <w:tcPr>
            <w:tcW w:w="884" w:type="dxa"/>
            <w:gridSpan w:val="2"/>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-£70,500</w:t>
            </w:r>
          </w:p>
        </w:tc>
        <w:tc>
          <w:tcPr>
            <w:tcW w:w="676" w:type="dxa"/>
            <w:tcBorders>
              <w:top w:val="nil"/>
              <w:left w:val="nil"/>
              <w:bottom w:val="nil"/>
              <w:right w:val="single" w:sz="4" w:space="0" w:color="auto"/>
            </w:tcBorders>
            <w:shd w:val="clear" w:color="000000" w:fill="C4D79B"/>
            <w:noWrap/>
            <w:vAlign w:val="bottom"/>
            <w:hideMark/>
          </w:tcPr>
          <w:p w:rsidR="00F9470A" w:rsidRPr="00F9470A" w:rsidRDefault="00F9470A">
            <w:pPr>
              <w:jc w:val="center"/>
              <w:rPr>
                <w:rFonts w:ascii="Arial" w:hAnsi="Arial" w:cs="Arial"/>
                <w:b/>
                <w:bCs/>
                <w:color w:val="FF0000"/>
                <w:sz w:val="12"/>
                <w:szCs w:val="12"/>
              </w:rPr>
            </w:pPr>
            <w:r w:rsidRPr="00F9470A">
              <w:rPr>
                <w:rFonts w:ascii="Arial" w:hAnsi="Arial" w:cs="Arial"/>
                <w:b/>
                <w:bCs/>
                <w:color w:val="FF0000"/>
                <w:sz w:val="12"/>
                <w:szCs w:val="12"/>
              </w:rPr>
              <w:t> </w:t>
            </w:r>
          </w:p>
        </w:tc>
        <w:tc>
          <w:tcPr>
            <w:tcW w:w="992" w:type="dxa"/>
            <w:gridSpan w:val="2"/>
            <w:tcBorders>
              <w:top w:val="nil"/>
              <w:left w:val="nil"/>
              <w:bottom w:val="nil"/>
              <w:right w:val="single" w:sz="4" w:space="0" w:color="auto"/>
            </w:tcBorders>
            <w:shd w:val="clear" w:color="000000" w:fill="B8CCE4"/>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-£75,500</w:t>
            </w:r>
          </w:p>
        </w:tc>
        <w:tc>
          <w:tcPr>
            <w:tcW w:w="637" w:type="dxa"/>
            <w:tcBorders>
              <w:top w:val="nil"/>
              <w:left w:val="nil"/>
              <w:bottom w:val="single" w:sz="12" w:space="0" w:color="auto"/>
              <w:right w:val="single" w:sz="4" w:space="0" w:color="auto"/>
            </w:tcBorders>
            <w:shd w:val="clear" w:color="000000" w:fill="B8CCE4"/>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884" w:type="dxa"/>
            <w:gridSpan w:val="2"/>
            <w:tcBorders>
              <w:top w:val="nil"/>
              <w:left w:val="nil"/>
              <w:bottom w:val="nil"/>
              <w:right w:val="single" w:sz="4" w:space="0" w:color="auto"/>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-£26,000</w:t>
            </w:r>
          </w:p>
        </w:tc>
        <w:tc>
          <w:tcPr>
            <w:tcW w:w="747" w:type="dxa"/>
            <w:tcBorders>
              <w:top w:val="nil"/>
              <w:left w:val="nil"/>
              <w:bottom w:val="single" w:sz="12" w:space="0" w:color="auto"/>
              <w:right w:val="single" w:sz="4" w:space="0" w:color="auto"/>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color w:val="000000"/>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jc w:val="right"/>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38"/>
        </w:trPr>
        <w:tc>
          <w:tcPr>
            <w:tcW w:w="240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rsidR="00F9470A" w:rsidRPr="00F9470A" w:rsidRDefault="00F9470A">
            <w:pPr>
              <w:rPr>
                <w:rFonts w:ascii="Arial" w:hAnsi="Arial" w:cs="Arial"/>
                <w:b/>
                <w:bCs/>
                <w:sz w:val="12"/>
                <w:szCs w:val="12"/>
              </w:rPr>
            </w:pPr>
            <w:r w:rsidRPr="00F9470A">
              <w:rPr>
                <w:rFonts w:ascii="Arial" w:hAnsi="Arial" w:cs="Arial"/>
                <w:b/>
                <w:bCs/>
                <w:sz w:val="12"/>
                <w:szCs w:val="12"/>
              </w:rPr>
              <w:t>Total budget + reserve adjustment</w:t>
            </w:r>
          </w:p>
        </w:tc>
        <w:tc>
          <w:tcPr>
            <w:tcW w:w="249" w:type="dxa"/>
            <w:tcBorders>
              <w:top w:val="single" w:sz="12" w:space="0" w:color="auto"/>
              <w:left w:val="single" w:sz="4" w:space="0" w:color="auto"/>
              <w:bottom w:val="single" w:sz="12" w:space="0" w:color="auto"/>
              <w:right w:val="single" w:sz="4" w:space="0" w:color="auto"/>
            </w:tcBorders>
            <w:shd w:val="clear" w:color="000000" w:fill="FFFF99"/>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 </w:t>
            </w:r>
          </w:p>
        </w:tc>
        <w:tc>
          <w:tcPr>
            <w:tcW w:w="250" w:type="dxa"/>
            <w:gridSpan w:val="2"/>
            <w:tcBorders>
              <w:top w:val="single" w:sz="12" w:space="0" w:color="auto"/>
              <w:left w:val="nil"/>
              <w:bottom w:val="single" w:sz="12" w:space="0" w:color="auto"/>
              <w:right w:val="single" w:sz="12" w:space="0" w:color="auto"/>
            </w:tcBorders>
            <w:shd w:val="clear" w:color="000000" w:fill="FFFF99"/>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 </w:t>
            </w:r>
          </w:p>
        </w:tc>
        <w:tc>
          <w:tcPr>
            <w:tcW w:w="978" w:type="dxa"/>
            <w:tcBorders>
              <w:top w:val="nil"/>
              <w:left w:val="nil"/>
              <w:bottom w:val="single" w:sz="12" w:space="0" w:color="auto"/>
              <w:right w:val="single" w:sz="4" w:space="0" w:color="auto"/>
            </w:tcBorders>
            <w:shd w:val="clear" w:color="000000" w:fill="FF99CC"/>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£958,105</w:t>
            </w:r>
          </w:p>
        </w:tc>
        <w:tc>
          <w:tcPr>
            <w:tcW w:w="648" w:type="dxa"/>
            <w:tcBorders>
              <w:top w:val="nil"/>
              <w:left w:val="nil"/>
              <w:bottom w:val="single" w:sz="12" w:space="0" w:color="auto"/>
              <w:right w:val="nil"/>
            </w:tcBorders>
            <w:shd w:val="clear" w:color="000000" w:fill="FF99CC"/>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-19%</w:t>
            </w:r>
          </w:p>
        </w:tc>
        <w:tc>
          <w:tcPr>
            <w:tcW w:w="1134" w:type="dxa"/>
            <w:gridSpan w:val="2"/>
            <w:tcBorders>
              <w:top w:val="single" w:sz="12" w:space="0" w:color="auto"/>
              <w:left w:val="single" w:sz="12" w:space="0" w:color="auto"/>
              <w:bottom w:val="single" w:sz="12" w:space="0" w:color="auto"/>
              <w:right w:val="single" w:sz="4" w:space="0" w:color="auto"/>
            </w:tcBorders>
            <w:shd w:val="clear" w:color="000000" w:fill="FABF8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£951,843</w:t>
            </w:r>
          </w:p>
        </w:tc>
        <w:tc>
          <w:tcPr>
            <w:tcW w:w="637" w:type="dxa"/>
            <w:tcBorders>
              <w:top w:val="single" w:sz="12" w:space="0" w:color="auto"/>
              <w:left w:val="nil"/>
              <w:bottom w:val="single" w:sz="12" w:space="0" w:color="auto"/>
              <w:right w:val="single" w:sz="12" w:space="0" w:color="auto"/>
            </w:tcBorders>
            <w:shd w:val="clear" w:color="000000" w:fill="FABF8F"/>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-1%</w:t>
            </w:r>
          </w:p>
        </w:tc>
        <w:tc>
          <w:tcPr>
            <w:tcW w:w="1064" w:type="dxa"/>
            <w:gridSpan w:val="2"/>
            <w:tcBorders>
              <w:top w:val="single" w:sz="12" w:space="0" w:color="auto"/>
              <w:left w:val="nil"/>
              <w:bottom w:val="single" w:sz="12" w:space="0" w:color="auto"/>
              <w:right w:val="single" w:sz="4" w:space="0" w:color="auto"/>
            </w:tcBorders>
            <w:shd w:val="clear" w:color="000000" w:fill="FFFF00"/>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£952,810</w:t>
            </w:r>
          </w:p>
        </w:tc>
        <w:tc>
          <w:tcPr>
            <w:tcW w:w="709" w:type="dxa"/>
            <w:tcBorders>
              <w:top w:val="single" w:sz="12" w:space="0" w:color="auto"/>
              <w:left w:val="nil"/>
              <w:bottom w:val="single" w:sz="12" w:space="0" w:color="auto"/>
              <w:right w:val="single" w:sz="12" w:space="0" w:color="auto"/>
            </w:tcBorders>
            <w:shd w:val="clear" w:color="000000" w:fill="FFFF00"/>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0%</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CC99F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£970,454</w:t>
            </w:r>
          </w:p>
        </w:tc>
        <w:tc>
          <w:tcPr>
            <w:tcW w:w="675" w:type="dxa"/>
            <w:tcBorders>
              <w:top w:val="single" w:sz="12" w:space="0" w:color="auto"/>
              <w:left w:val="nil"/>
              <w:bottom w:val="single" w:sz="12" w:space="0" w:color="auto"/>
              <w:right w:val="single" w:sz="12" w:space="0" w:color="auto"/>
            </w:tcBorders>
            <w:shd w:val="clear" w:color="000000" w:fill="CC99FF"/>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2%</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C4D79B"/>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£983,506</w:t>
            </w:r>
          </w:p>
        </w:tc>
        <w:tc>
          <w:tcPr>
            <w:tcW w:w="676" w:type="dxa"/>
            <w:tcBorders>
              <w:top w:val="single" w:sz="12" w:space="0" w:color="auto"/>
              <w:left w:val="nil"/>
              <w:bottom w:val="single" w:sz="12" w:space="0" w:color="auto"/>
              <w:right w:val="single" w:sz="12" w:space="0" w:color="auto"/>
            </w:tcBorders>
            <w:shd w:val="clear" w:color="000000" w:fill="C4D79B"/>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1%</w:t>
            </w:r>
          </w:p>
        </w:tc>
        <w:tc>
          <w:tcPr>
            <w:tcW w:w="992" w:type="dxa"/>
            <w:gridSpan w:val="2"/>
            <w:tcBorders>
              <w:top w:val="single" w:sz="12" w:space="0" w:color="auto"/>
              <w:left w:val="single" w:sz="4" w:space="0" w:color="auto"/>
              <w:bottom w:val="single" w:sz="12" w:space="0" w:color="auto"/>
              <w:right w:val="single" w:sz="4" w:space="0" w:color="auto"/>
            </w:tcBorders>
            <w:shd w:val="clear" w:color="000000" w:fill="B8CCE4"/>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£1,004,946</w:t>
            </w:r>
          </w:p>
        </w:tc>
        <w:tc>
          <w:tcPr>
            <w:tcW w:w="637" w:type="dxa"/>
            <w:tcBorders>
              <w:top w:val="nil"/>
              <w:left w:val="nil"/>
              <w:bottom w:val="single" w:sz="12" w:space="0" w:color="auto"/>
              <w:right w:val="single" w:sz="12" w:space="0" w:color="auto"/>
            </w:tcBorders>
            <w:shd w:val="clear" w:color="000000" w:fill="B8CCE4"/>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2%</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FFFF99"/>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£1,058,140</w:t>
            </w:r>
          </w:p>
        </w:tc>
        <w:tc>
          <w:tcPr>
            <w:tcW w:w="747" w:type="dxa"/>
            <w:tcBorders>
              <w:top w:val="nil"/>
              <w:left w:val="nil"/>
              <w:bottom w:val="single" w:sz="12" w:space="0" w:color="auto"/>
              <w:right w:val="single" w:sz="12" w:space="0" w:color="auto"/>
            </w:tcBorders>
            <w:shd w:val="clear" w:color="000000" w:fill="FFFF99"/>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5%</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b/>
                <w:bCs/>
                <w:color w:val="000000"/>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6D425F">
        <w:trPr>
          <w:gridAfter w:val="5"/>
          <w:wAfter w:w="661" w:type="dxa"/>
          <w:trHeight w:val="120"/>
        </w:trPr>
        <w:tc>
          <w:tcPr>
            <w:tcW w:w="2408"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49" w:type="dxa"/>
            <w:tcBorders>
              <w:top w:val="nil"/>
              <w:left w:val="single" w:sz="4" w:space="0" w:color="auto"/>
              <w:bottom w:val="nil"/>
              <w:right w:val="nil"/>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 </w:t>
            </w:r>
          </w:p>
        </w:tc>
        <w:tc>
          <w:tcPr>
            <w:tcW w:w="250" w:type="dxa"/>
            <w:gridSpan w:val="2"/>
            <w:tcBorders>
              <w:top w:val="nil"/>
              <w:left w:val="nil"/>
              <w:bottom w:val="nil"/>
              <w:right w:val="nil"/>
            </w:tcBorders>
            <w:shd w:val="clear" w:color="auto" w:fill="auto"/>
            <w:noWrap/>
            <w:vAlign w:val="bottom"/>
            <w:hideMark/>
          </w:tcPr>
          <w:p w:rsidR="00F9470A" w:rsidRPr="00F9470A" w:rsidRDefault="00F9470A">
            <w:pPr>
              <w:rPr>
                <w:rFonts w:ascii="Arial" w:hAnsi="Arial" w:cs="Arial"/>
                <w:sz w:val="12"/>
                <w:szCs w:val="12"/>
              </w:rPr>
            </w:pPr>
          </w:p>
        </w:tc>
        <w:tc>
          <w:tcPr>
            <w:tcW w:w="978" w:type="dxa"/>
            <w:tcBorders>
              <w:top w:val="nil"/>
              <w:left w:val="nil"/>
              <w:bottom w:val="single" w:sz="4" w:space="0" w:color="auto"/>
              <w:right w:val="nil"/>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 </w:t>
            </w:r>
          </w:p>
        </w:tc>
        <w:tc>
          <w:tcPr>
            <w:tcW w:w="648" w:type="dxa"/>
            <w:tcBorders>
              <w:top w:val="nil"/>
              <w:left w:val="nil"/>
              <w:bottom w:val="single" w:sz="4" w:space="0" w:color="auto"/>
              <w:right w:val="nil"/>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 </w:t>
            </w:r>
          </w:p>
        </w:tc>
        <w:tc>
          <w:tcPr>
            <w:tcW w:w="1134" w:type="dxa"/>
            <w:gridSpan w:val="2"/>
            <w:tcBorders>
              <w:top w:val="nil"/>
              <w:left w:val="single" w:sz="12" w:space="0" w:color="auto"/>
              <w:bottom w:val="nil"/>
              <w:right w:val="nil"/>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 </w:t>
            </w:r>
          </w:p>
        </w:tc>
        <w:tc>
          <w:tcPr>
            <w:tcW w:w="637" w:type="dxa"/>
            <w:tcBorders>
              <w:top w:val="nil"/>
              <w:left w:val="nil"/>
              <w:bottom w:val="nil"/>
              <w:right w:val="single" w:sz="12" w:space="0" w:color="auto"/>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 </w:t>
            </w:r>
          </w:p>
        </w:tc>
        <w:tc>
          <w:tcPr>
            <w:tcW w:w="1064" w:type="dxa"/>
            <w:gridSpan w:val="2"/>
            <w:tcBorders>
              <w:top w:val="nil"/>
              <w:left w:val="nil"/>
              <w:bottom w:val="nil"/>
              <w:right w:val="nil"/>
            </w:tcBorders>
            <w:shd w:val="clear" w:color="auto" w:fill="auto"/>
            <w:noWrap/>
            <w:vAlign w:val="bottom"/>
            <w:hideMark/>
          </w:tcPr>
          <w:p w:rsidR="00F9470A" w:rsidRPr="00F9470A" w:rsidRDefault="00F9470A">
            <w:pPr>
              <w:rPr>
                <w:rFonts w:ascii="Arial" w:hAnsi="Arial" w:cs="Arial"/>
                <w:sz w:val="12"/>
                <w:szCs w:val="12"/>
              </w:rPr>
            </w:pPr>
          </w:p>
        </w:tc>
        <w:tc>
          <w:tcPr>
            <w:tcW w:w="709"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884"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675"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884"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67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992" w:type="dxa"/>
            <w:gridSpan w:val="2"/>
            <w:tcBorders>
              <w:top w:val="nil"/>
              <w:left w:val="single" w:sz="4" w:space="0" w:color="auto"/>
              <w:bottom w:val="nil"/>
              <w:right w:val="nil"/>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 </w:t>
            </w:r>
          </w:p>
        </w:tc>
        <w:tc>
          <w:tcPr>
            <w:tcW w:w="637" w:type="dxa"/>
            <w:tcBorders>
              <w:top w:val="nil"/>
              <w:left w:val="nil"/>
              <w:bottom w:val="nil"/>
              <w:right w:val="single" w:sz="4" w:space="0" w:color="auto"/>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 </w:t>
            </w:r>
          </w:p>
        </w:tc>
        <w:tc>
          <w:tcPr>
            <w:tcW w:w="884" w:type="dxa"/>
            <w:gridSpan w:val="2"/>
            <w:tcBorders>
              <w:top w:val="nil"/>
              <w:left w:val="nil"/>
              <w:bottom w:val="nil"/>
              <w:right w:val="nil"/>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 </w:t>
            </w:r>
          </w:p>
        </w:tc>
        <w:tc>
          <w:tcPr>
            <w:tcW w:w="747" w:type="dxa"/>
            <w:tcBorders>
              <w:top w:val="nil"/>
              <w:left w:val="nil"/>
              <w:bottom w:val="nil"/>
              <w:right w:val="single" w:sz="4" w:space="0" w:color="auto"/>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 </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rPr>
                <w:rFonts w:ascii="Arial" w:hAnsi="Arial" w:cs="Arial"/>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194"/>
        </w:trPr>
        <w:tc>
          <w:tcPr>
            <w:tcW w:w="24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70A" w:rsidRPr="00F9470A" w:rsidRDefault="00F9470A">
            <w:pPr>
              <w:rPr>
                <w:rFonts w:ascii="Arial" w:hAnsi="Arial" w:cs="Arial"/>
                <w:b/>
                <w:bCs/>
                <w:sz w:val="12"/>
                <w:szCs w:val="12"/>
              </w:rPr>
            </w:pPr>
            <w:r w:rsidRPr="00F9470A">
              <w:rPr>
                <w:rFonts w:ascii="Arial" w:hAnsi="Arial" w:cs="Arial"/>
                <w:b/>
                <w:bCs/>
                <w:sz w:val="12"/>
                <w:szCs w:val="12"/>
              </w:rPr>
              <w:t>SHORTFALL</w:t>
            </w:r>
          </w:p>
        </w:tc>
        <w:tc>
          <w:tcPr>
            <w:tcW w:w="249" w:type="dxa"/>
            <w:tcBorders>
              <w:top w:val="single" w:sz="4" w:space="0" w:color="auto"/>
              <w:left w:val="single" w:sz="4" w:space="0" w:color="auto"/>
              <w:bottom w:val="single" w:sz="4" w:space="0" w:color="auto"/>
              <w:right w:val="single" w:sz="4" w:space="0" w:color="auto"/>
            </w:tcBorders>
            <w:shd w:val="clear" w:color="000000" w:fill="FFFF99"/>
            <w:vAlign w:val="bottom"/>
          </w:tcPr>
          <w:p w:rsidR="00F9470A" w:rsidRPr="00F9470A" w:rsidRDefault="00F9470A">
            <w:pPr>
              <w:jc w:val="center"/>
              <w:rPr>
                <w:rFonts w:ascii="Arial" w:hAnsi="Arial" w:cs="Arial"/>
                <w:sz w:val="12"/>
                <w:szCs w:val="12"/>
              </w:rPr>
            </w:pPr>
          </w:p>
        </w:tc>
        <w:tc>
          <w:tcPr>
            <w:tcW w:w="250" w:type="dxa"/>
            <w:gridSpan w:val="2"/>
            <w:tcBorders>
              <w:top w:val="single" w:sz="4" w:space="0" w:color="auto"/>
              <w:left w:val="nil"/>
              <w:bottom w:val="single" w:sz="4" w:space="0" w:color="auto"/>
              <w:right w:val="nil"/>
            </w:tcBorders>
            <w:shd w:val="clear" w:color="000000" w:fill="FFFF99"/>
            <w:vAlign w:val="bottom"/>
          </w:tcPr>
          <w:p w:rsidR="00F9470A" w:rsidRPr="00F9470A" w:rsidRDefault="00F9470A">
            <w:pPr>
              <w:jc w:val="center"/>
              <w:rPr>
                <w:rFonts w:ascii="Arial" w:hAnsi="Arial" w:cs="Arial"/>
                <w:sz w:val="12"/>
                <w:szCs w:val="12"/>
              </w:rPr>
            </w:pPr>
          </w:p>
        </w:tc>
        <w:tc>
          <w:tcPr>
            <w:tcW w:w="978" w:type="dxa"/>
            <w:tcBorders>
              <w:top w:val="nil"/>
              <w:left w:val="single" w:sz="4" w:space="0" w:color="auto"/>
              <w:bottom w:val="single" w:sz="4" w:space="0" w:color="auto"/>
              <w:right w:val="single" w:sz="4" w:space="0" w:color="auto"/>
            </w:tcBorders>
            <w:shd w:val="clear" w:color="000000" w:fill="FF99CC"/>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Projected Budget 2016/17</w:t>
            </w:r>
          </w:p>
        </w:tc>
        <w:tc>
          <w:tcPr>
            <w:tcW w:w="648" w:type="dxa"/>
            <w:tcBorders>
              <w:top w:val="nil"/>
              <w:left w:val="nil"/>
              <w:bottom w:val="single" w:sz="4" w:space="0" w:color="auto"/>
              <w:right w:val="nil"/>
            </w:tcBorders>
            <w:shd w:val="clear" w:color="000000" w:fill="FF99CC"/>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change</w:t>
            </w:r>
          </w:p>
        </w:tc>
        <w:tc>
          <w:tcPr>
            <w:tcW w:w="1134" w:type="dxa"/>
            <w:gridSpan w:val="2"/>
            <w:tcBorders>
              <w:top w:val="single" w:sz="4" w:space="0" w:color="auto"/>
              <w:left w:val="single" w:sz="12" w:space="0" w:color="auto"/>
              <w:bottom w:val="single" w:sz="4" w:space="0" w:color="auto"/>
              <w:right w:val="single" w:sz="4" w:space="0" w:color="auto"/>
            </w:tcBorders>
            <w:shd w:val="clear" w:color="000000" w:fill="FABF8F"/>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Projected Budget 2017/18</w:t>
            </w:r>
          </w:p>
        </w:tc>
        <w:tc>
          <w:tcPr>
            <w:tcW w:w="637" w:type="dxa"/>
            <w:tcBorders>
              <w:top w:val="single" w:sz="4" w:space="0" w:color="auto"/>
              <w:left w:val="nil"/>
              <w:bottom w:val="single" w:sz="4" w:space="0" w:color="auto"/>
              <w:right w:val="single" w:sz="12" w:space="0" w:color="auto"/>
            </w:tcBorders>
            <w:shd w:val="clear" w:color="000000" w:fill="FABF8F"/>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change</w:t>
            </w:r>
          </w:p>
        </w:tc>
        <w:tc>
          <w:tcPr>
            <w:tcW w:w="1064" w:type="dxa"/>
            <w:gridSpan w:val="2"/>
            <w:tcBorders>
              <w:top w:val="single" w:sz="4" w:space="0" w:color="auto"/>
              <w:left w:val="nil"/>
              <w:bottom w:val="single" w:sz="4" w:space="0" w:color="auto"/>
              <w:right w:val="single" w:sz="4" w:space="0" w:color="auto"/>
            </w:tcBorders>
            <w:shd w:val="clear" w:color="000000" w:fill="FFFF00"/>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Projected Budget 2018/19</w:t>
            </w:r>
          </w:p>
        </w:tc>
        <w:tc>
          <w:tcPr>
            <w:tcW w:w="709" w:type="dxa"/>
            <w:tcBorders>
              <w:top w:val="single" w:sz="4" w:space="0" w:color="auto"/>
              <w:left w:val="nil"/>
              <w:bottom w:val="single" w:sz="4" w:space="0" w:color="auto"/>
              <w:right w:val="single" w:sz="4" w:space="0" w:color="auto"/>
            </w:tcBorders>
            <w:shd w:val="clear" w:color="000000" w:fill="FFFF00"/>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change</w:t>
            </w:r>
          </w:p>
        </w:tc>
        <w:tc>
          <w:tcPr>
            <w:tcW w:w="884" w:type="dxa"/>
            <w:gridSpan w:val="2"/>
            <w:tcBorders>
              <w:top w:val="single" w:sz="4" w:space="0" w:color="auto"/>
              <w:left w:val="nil"/>
              <w:bottom w:val="single" w:sz="4" w:space="0" w:color="auto"/>
              <w:right w:val="single" w:sz="4" w:space="0" w:color="auto"/>
            </w:tcBorders>
            <w:shd w:val="clear" w:color="000000" w:fill="CC99FF"/>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Projected Budget 2019/20</w:t>
            </w:r>
          </w:p>
        </w:tc>
        <w:tc>
          <w:tcPr>
            <w:tcW w:w="675" w:type="dxa"/>
            <w:tcBorders>
              <w:top w:val="single" w:sz="4" w:space="0" w:color="auto"/>
              <w:left w:val="nil"/>
              <w:bottom w:val="single" w:sz="4" w:space="0" w:color="auto"/>
              <w:right w:val="single" w:sz="4" w:space="0" w:color="auto"/>
            </w:tcBorders>
            <w:shd w:val="clear" w:color="000000" w:fill="CC99FF"/>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change</w:t>
            </w:r>
          </w:p>
        </w:tc>
        <w:tc>
          <w:tcPr>
            <w:tcW w:w="884" w:type="dxa"/>
            <w:gridSpan w:val="2"/>
            <w:tcBorders>
              <w:top w:val="single" w:sz="4" w:space="0" w:color="auto"/>
              <w:left w:val="nil"/>
              <w:bottom w:val="single" w:sz="4" w:space="0" w:color="auto"/>
              <w:right w:val="single" w:sz="4" w:space="0" w:color="auto"/>
            </w:tcBorders>
            <w:shd w:val="clear" w:color="000000" w:fill="C4D79B"/>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Projected Budget 2019/20</w:t>
            </w:r>
          </w:p>
        </w:tc>
        <w:tc>
          <w:tcPr>
            <w:tcW w:w="676" w:type="dxa"/>
            <w:tcBorders>
              <w:top w:val="single" w:sz="4" w:space="0" w:color="auto"/>
              <w:left w:val="nil"/>
              <w:bottom w:val="single" w:sz="4" w:space="0" w:color="auto"/>
              <w:right w:val="single" w:sz="4" w:space="0" w:color="auto"/>
            </w:tcBorders>
            <w:shd w:val="clear" w:color="000000" w:fill="C4D79B"/>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change</w:t>
            </w:r>
          </w:p>
        </w:tc>
        <w:tc>
          <w:tcPr>
            <w:tcW w:w="992" w:type="dxa"/>
            <w:gridSpan w:val="2"/>
            <w:tcBorders>
              <w:top w:val="single" w:sz="4" w:space="0" w:color="auto"/>
              <w:left w:val="nil"/>
              <w:bottom w:val="single" w:sz="4" w:space="0" w:color="auto"/>
              <w:right w:val="single" w:sz="4" w:space="0" w:color="auto"/>
            </w:tcBorders>
            <w:shd w:val="clear" w:color="000000" w:fill="B8CCE4"/>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Projected Budget 2020/21</w:t>
            </w:r>
          </w:p>
        </w:tc>
        <w:tc>
          <w:tcPr>
            <w:tcW w:w="637" w:type="dxa"/>
            <w:tcBorders>
              <w:top w:val="single" w:sz="4" w:space="0" w:color="auto"/>
              <w:left w:val="nil"/>
              <w:bottom w:val="single" w:sz="4" w:space="0" w:color="auto"/>
              <w:right w:val="single" w:sz="4" w:space="0" w:color="auto"/>
            </w:tcBorders>
            <w:shd w:val="clear" w:color="000000" w:fill="B8CCE4"/>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change</w:t>
            </w:r>
          </w:p>
        </w:tc>
        <w:tc>
          <w:tcPr>
            <w:tcW w:w="884" w:type="dxa"/>
            <w:gridSpan w:val="2"/>
            <w:tcBorders>
              <w:top w:val="single" w:sz="4" w:space="0" w:color="auto"/>
              <w:left w:val="nil"/>
              <w:bottom w:val="single" w:sz="4" w:space="0" w:color="auto"/>
              <w:right w:val="single" w:sz="4" w:space="0" w:color="auto"/>
            </w:tcBorders>
            <w:shd w:val="clear" w:color="000000" w:fill="FFFF99"/>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Projected Budget 2021/22</w:t>
            </w:r>
          </w:p>
        </w:tc>
        <w:tc>
          <w:tcPr>
            <w:tcW w:w="747" w:type="dxa"/>
            <w:tcBorders>
              <w:top w:val="single" w:sz="4" w:space="0" w:color="auto"/>
              <w:left w:val="nil"/>
              <w:bottom w:val="single" w:sz="4" w:space="0" w:color="auto"/>
              <w:right w:val="single" w:sz="4" w:space="0" w:color="auto"/>
            </w:tcBorders>
            <w:shd w:val="clear" w:color="000000" w:fill="FFFF99"/>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change</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90"/>
        </w:trPr>
        <w:tc>
          <w:tcPr>
            <w:tcW w:w="2408" w:type="dxa"/>
            <w:tcBorders>
              <w:top w:val="nil"/>
              <w:left w:val="nil"/>
              <w:bottom w:val="nil"/>
              <w:right w:val="nil"/>
            </w:tcBorders>
            <w:shd w:val="clear" w:color="auto" w:fill="auto"/>
            <w:vAlign w:val="bottom"/>
            <w:hideMark/>
          </w:tcPr>
          <w:p w:rsidR="00F9470A" w:rsidRPr="00F9470A" w:rsidRDefault="00F9470A">
            <w:pPr>
              <w:rPr>
                <w:rFonts w:ascii="Arial" w:hAnsi="Arial" w:cs="Arial"/>
                <w:sz w:val="12"/>
                <w:szCs w:val="12"/>
              </w:rPr>
            </w:pPr>
            <w:r w:rsidRPr="00F9470A">
              <w:rPr>
                <w:rFonts w:ascii="Arial" w:hAnsi="Arial" w:cs="Arial"/>
                <w:sz w:val="12"/>
                <w:szCs w:val="12"/>
              </w:rPr>
              <w:t>Difference Between Income and Expenditure</w:t>
            </w:r>
          </w:p>
        </w:tc>
        <w:tc>
          <w:tcPr>
            <w:tcW w:w="249" w:type="dxa"/>
            <w:tcBorders>
              <w:top w:val="nil"/>
              <w:left w:val="single" w:sz="4" w:space="0" w:color="auto"/>
              <w:bottom w:val="single" w:sz="4" w:space="0" w:color="auto"/>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250" w:type="dxa"/>
            <w:gridSpan w:val="2"/>
            <w:tcBorders>
              <w:top w:val="nil"/>
              <w:left w:val="nil"/>
              <w:bottom w:val="single" w:sz="4" w:space="0" w:color="auto"/>
              <w:right w:val="nil"/>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978" w:type="dxa"/>
            <w:tcBorders>
              <w:top w:val="nil"/>
              <w:left w:val="single" w:sz="4" w:space="0" w:color="auto"/>
              <w:bottom w:val="single" w:sz="4" w:space="0" w:color="auto"/>
              <w:right w:val="single" w:sz="4" w:space="0" w:color="auto"/>
            </w:tcBorders>
            <w:shd w:val="clear" w:color="000000" w:fill="FF99CC"/>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£807,370</w:t>
            </w:r>
          </w:p>
        </w:tc>
        <w:tc>
          <w:tcPr>
            <w:tcW w:w="648" w:type="dxa"/>
            <w:tcBorders>
              <w:top w:val="nil"/>
              <w:left w:val="nil"/>
              <w:bottom w:val="single" w:sz="4" w:space="0" w:color="auto"/>
              <w:right w:val="nil"/>
            </w:tcBorders>
            <w:shd w:val="clear" w:color="000000" w:fill="FF99CC"/>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0%</w:t>
            </w:r>
          </w:p>
        </w:tc>
        <w:tc>
          <w:tcPr>
            <w:tcW w:w="1134" w:type="dxa"/>
            <w:gridSpan w:val="2"/>
            <w:tcBorders>
              <w:top w:val="nil"/>
              <w:left w:val="single" w:sz="12" w:space="0" w:color="auto"/>
              <w:bottom w:val="single" w:sz="4" w:space="0" w:color="auto"/>
              <w:right w:val="single" w:sz="4" w:space="0" w:color="auto"/>
            </w:tcBorders>
            <w:shd w:val="clear" w:color="000000" w:fill="FABF8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£802,181</w:t>
            </w:r>
          </w:p>
        </w:tc>
        <w:tc>
          <w:tcPr>
            <w:tcW w:w="637" w:type="dxa"/>
            <w:tcBorders>
              <w:top w:val="nil"/>
              <w:left w:val="nil"/>
              <w:bottom w:val="single" w:sz="4" w:space="0" w:color="auto"/>
              <w:right w:val="single" w:sz="12" w:space="0" w:color="auto"/>
            </w:tcBorders>
            <w:shd w:val="clear" w:color="000000" w:fill="FABF8F"/>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-1%</w:t>
            </w:r>
          </w:p>
        </w:tc>
        <w:tc>
          <w:tcPr>
            <w:tcW w:w="1064" w:type="dxa"/>
            <w:gridSpan w:val="2"/>
            <w:tcBorders>
              <w:top w:val="nil"/>
              <w:left w:val="nil"/>
              <w:bottom w:val="single" w:sz="4" w:space="0" w:color="auto"/>
              <w:right w:val="single" w:sz="4" w:space="0" w:color="auto"/>
            </w:tcBorders>
            <w:shd w:val="clear" w:color="000000" w:fill="FFFF00"/>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£807,377</w:t>
            </w:r>
          </w:p>
        </w:tc>
        <w:tc>
          <w:tcPr>
            <w:tcW w:w="709" w:type="dxa"/>
            <w:tcBorders>
              <w:top w:val="nil"/>
              <w:left w:val="nil"/>
              <w:bottom w:val="single" w:sz="4" w:space="0" w:color="auto"/>
              <w:right w:val="single" w:sz="4" w:space="0" w:color="auto"/>
            </w:tcBorders>
            <w:shd w:val="clear" w:color="000000" w:fill="FFFF00"/>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1%</w:t>
            </w:r>
          </w:p>
        </w:tc>
        <w:tc>
          <w:tcPr>
            <w:tcW w:w="884" w:type="dxa"/>
            <w:gridSpan w:val="2"/>
            <w:tcBorders>
              <w:top w:val="nil"/>
              <w:left w:val="nil"/>
              <w:bottom w:val="single" w:sz="4" w:space="0" w:color="auto"/>
              <w:right w:val="single" w:sz="4" w:space="0" w:color="auto"/>
            </w:tcBorders>
            <w:shd w:val="clear" w:color="000000" w:fill="CC99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£827,691</w:t>
            </w:r>
          </w:p>
        </w:tc>
        <w:tc>
          <w:tcPr>
            <w:tcW w:w="675" w:type="dxa"/>
            <w:tcBorders>
              <w:top w:val="nil"/>
              <w:left w:val="nil"/>
              <w:bottom w:val="single" w:sz="4" w:space="0" w:color="auto"/>
              <w:right w:val="single" w:sz="4" w:space="0" w:color="auto"/>
            </w:tcBorders>
            <w:shd w:val="clear" w:color="000000" w:fill="CC99FF"/>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3%</w:t>
            </w:r>
          </w:p>
        </w:tc>
        <w:tc>
          <w:tcPr>
            <w:tcW w:w="884" w:type="dxa"/>
            <w:gridSpan w:val="2"/>
            <w:tcBorders>
              <w:top w:val="nil"/>
              <w:left w:val="nil"/>
              <w:bottom w:val="single" w:sz="4" w:space="0" w:color="auto"/>
              <w:right w:val="single" w:sz="4" w:space="0" w:color="auto"/>
            </w:tcBorders>
            <w:shd w:val="clear" w:color="000000" w:fill="C4D79B"/>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£837,239</w:t>
            </w:r>
          </w:p>
        </w:tc>
        <w:tc>
          <w:tcPr>
            <w:tcW w:w="676" w:type="dxa"/>
            <w:tcBorders>
              <w:top w:val="nil"/>
              <w:left w:val="nil"/>
              <w:bottom w:val="single" w:sz="4" w:space="0" w:color="auto"/>
              <w:right w:val="single" w:sz="4" w:space="0" w:color="auto"/>
            </w:tcBorders>
            <w:shd w:val="clear" w:color="000000" w:fill="C4D79B"/>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1%</w:t>
            </w:r>
          </w:p>
        </w:tc>
        <w:tc>
          <w:tcPr>
            <w:tcW w:w="992" w:type="dxa"/>
            <w:gridSpan w:val="2"/>
            <w:tcBorders>
              <w:top w:val="nil"/>
              <w:left w:val="nil"/>
              <w:bottom w:val="single" w:sz="4" w:space="0" w:color="auto"/>
              <w:right w:val="single" w:sz="4" w:space="0" w:color="auto"/>
            </w:tcBorders>
            <w:shd w:val="clear" w:color="000000" w:fill="B8CCE4"/>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£855,089</w:t>
            </w:r>
          </w:p>
        </w:tc>
        <w:tc>
          <w:tcPr>
            <w:tcW w:w="637" w:type="dxa"/>
            <w:tcBorders>
              <w:top w:val="nil"/>
              <w:left w:val="nil"/>
              <w:bottom w:val="single" w:sz="4" w:space="0" w:color="auto"/>
              <w:right w:val="single" w:sz="4" w:space="0" w:color="auto"/>
            </w:tcBorders>
            <w:shd w:val="clear" w:color="000000" w:fill="B8CCE4"/>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2%</w:t>
            </w:r>
          </w:p>
        </w:tc>
        <w:tc>
          <w:tcPr>
            <w:tcW w:w="884" w:type="dxa"/>
            <w:gridSpan w:val="2"/>
            <w:tcBorders>
              <w:top w:val="nil"/>
              <w:left w:val="nil"/>
              <w:bottom w:val="single" w:sz="4" w:space="0" w:color="auto"/>
              <w:right w:val="single" w:sz="4" w:space="0" w:color="auto"/>
            </w:tcBorders>
            <w:shd w:val="clear" w:color="000000" w:fill="FFFF99"/>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£904,604</w:t>
            </w:r>
          </w:p>
        </w:tc>
        <w:tc>
          <w:tcPr>
            <w:tcW w:w="747" w:type="dxa"/>
            <w:tcBorders>
              <w:top w:val="nil"/>
              <w:left w:val="nil"/>
              <w:bottom w:val="single" w:sz="4" w:space="0" w:color="auto"/>
              <w:right w:val="single" w:sz="4" w:space="0" w:color="auto"/>
            </w:tcBorders>
            <w:shd w:val="clear" w:color="000000" w:fill="FFFF99"/>
            <w:noWrap/>
            <w:vAlign w:val="bottom"/>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6%</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color w:val="000000"/>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AC7651">
        <w:trPr>
          <w:gridAfter w:val="5"/>
          <w:wAfter w:w="661" w:type="dxa"/>
          <w:trHeight w:val="58"/>
        </w:trPr>
        <w:tc>
          <w:tcPr>
            <w:tcW w:w="2408" w:type="dxa"/>
            <w:tcBorders>
              <w:top w:val="nil"/>
              <w:left w:val="nil"/>
              <w:bottom w:val="nil"/>
              <w:right w:val="nil"/>
            </w:tcBorders>
            <w:shd w:val="clear" w:color="auto" w:fill="auto"/>
            <w:noWrap/>
            <w:vAlign w:val="bottom"/>
            <w:hideMark/>
          </w:tcPr>
          <w:p w:rsidR="00F9470A" w:rsidRPr="00F9470A" w:rsidRDefault="00F9470A">
            <w:pPr>
              <w:rPr>
                <w:rFonts w:ascii="Arial" w:hAnsi="Arial" w:cs="Arial"/>
                <w:b/>
                <w:bCs/>
                <w:sz w:val="12"/>
                <w:szCs w:val="12"/>
              </w:rPr>
            </w:pPr>
            <w:r w:rsidRPr="00F9470A">
              <w:rPr>
                <w:rFonts w:ascii="Arial" w:hAnsi="Arial" w:cs="Arial"/>
                <w:b/>
                <w:bCs/>
                <w:sz w:val="12"/>
                <w:szCs w:val="12"/>
              </w:rPr>
              <w:t>LESS/PLUS:</w:t>
            </w:r>
          </w:p>
        </w:tc>
        <w:tc>
          <w:tcPr>
            <w:tcW w:w="249" w:type="dxa"/>
            <w:tcBorders>
              <w:top w:val="nil"/>
              <w:left w:val="single" w:sz="4" w:space="0" w:color="auto"/>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250" w:type="dxa"/>
            <w:gridSpan w:val="2"/>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978"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648"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1134" w:type="dxa"/>
            <w:gridSpan w:val="2"/>
            <w:tcBorders>
              <w:top w:val="nil"/>
              <w:left w:val="single" w:sz="12" w:space="0" w:color="auto"/>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637" w:type="dxa"/>
            <w:tcBorders>
              <w:top w:val="nil"/>
              <w:left w:val="nil"/>
              <w:bottom w:val="nil"/>
              <w:right w:val="single" w:sz="12" w:space="0" w:color="auto"/>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1064" w:type="dxa"/>
            <w:gridSpan w:val="2"/>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709"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675"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676"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992" w:type="dxa"/>
            <w:gridSpan w:val="2"/>
            <w:tcBorders>
              <w:top w:val="nil"/>
              <w:left w:val="single" w:sz="4" w:space="0" w:color="auto"/>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637"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nil"/>
              <w:left w:val="single" w:sz="4" w:space="0" w:color="auto"/>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747"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6D425F">
        <w:trPr>
          <w:gridAfter w:val="5"/>
          <w:wAfter w:w="661" w:type="dxa"/>
          <w:trHeight w:val="72"/>
        </w:trPr>
        <w:tc>
          <w:tcPr>
            <w:tcW w:w="2408" w:type="dxa"/>
            <w:tcBorders>
              <w:top w:val="nil"/>
              <w:left w:val="nil"/>
              <w:bottom w:val="nil"/>
              <w:right w:val="nil"/>
            </w:tcBorders>
            <w:shd w:val="clear" w:color="auto" w:fill="auto"/>
            <w:vAlign w:val="bottom"/>
            <w:hideMark/>
          </w:tcPr>
          <w:p w:rsidR="00F9470A" w:rsidRPr="00F9470A" w:rsidRDefault="00F9470A">
            <w:pPr>
              <w:rPr>
                <w:rFonts w:ascii="Arial" w:hAnsi="Arial" w:cs="Arial"/>
                <w:b/>
                <w:bCs/>
                <w:sz w:val="12"/>
                <w:szCs w:val="12"/>
              </w:rPr>
            </w:pPr>
            <w:r w:rsidRPr="00F9470A">
              <w:rPr>
                <w:rFonts w:ascii="Arial" w:hAnsi="Arial" w:cs="Arial"/>
                <w:b/>
                <w:bCs/>
                <w:sz w:val="12"/>
                <w:szCs w:val="12"/>
              </w:rPr>
              <w:t>Previous confirmed year end C/fwd</w:t>
            </w:r>
          </w:p>
        </w:tc>
        <w:tc>
          <w:tcPr>
            <w:tcW w:w="249" w:type="dxa"/>
            <w:tcBorders>
              <w:top w:val="nil"/>
              <w:left w:val="single" w:sz="4" w:space="0" w:color="auto"/>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250" w:type="dxa"/>
            <w:gridSpan w:val="2"/>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978" w:type="dxa"/>
            <w:tcBorders>
              <w:top w:val="nil"/>
              <w:left w:val="nil"/>
              <w:bottom w:val="single" w:sz="4" w:space="0" w:color="auto"/>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648"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1134" w:type="dxa"/>
            <w:gridSpan w:val="2"/>
            <w:tcBorders>
              <w:top w:val="nil"/>
              <w:left w:val="single" w:sz="12" w:space="0" w:color="auto"/>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637" w:type="dxa"/>
            <w:tcBorders>
              <w:top w:val="nil"/>
              <w:left w:val="nil"/>
              <w:bottom w:val="nil"/>
              <w:right w:val="single" w:sz="12" w:space="0" w:color="auto"/>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1064" w:type="dxa"/>
            <w:gridSpan w:val="2"/>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709"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675"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676"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992" w:type="dxa"/>
            <w:gridSpan w:val="2"/>
            <w:tcBorders>
              <w:top w:val="nil"/>
              <w:left w:val="single" w:sz="4" w:space="0" w:color="auto"/>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637"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nil"/>
              <w:left w:val="single" w:sz="4" w:space="0" w:color="auto"/>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747"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6D425F">
        <w:trPr>
          <w:gridAfter w:val="5"/>
          <w:wAfter w:w="661" w:type="dxa"/>
          <w:trHeight w:val="147"/>
        </w:trPr>
        <w:tc>
          <w:tcPr>
            <w:tcW w:w="2408" w:type="dxa"/>
            <w:tcBorders>
              <w:top w:val="nil"/>
              <w:left w:val="nil"/>
              <w:bottom w:val="nil"/>
              <w:right w:val="nil"/>
            </w:tcBorders>
            <w:shd w:val="clear" w:color="auto" w:fill="auto"/>
            <w:vAlign w:val="bottom"/>
            <w:hideMark/>
          </w:tcPr>
          <w:p w:rsidR="00F9470A" w:rsidRPr="00F9470A" w:rsidRDefault="00F9470A">
            <w:pPr>
              <w:rPr>
                <w:rFonts w:ascii="Arial" w:hAnsi="Arial" w:cs="Arial"/>
                <w:b/>
                <w:bCs/>
                <w:color w:val="000000"/>
                <w:sz w:val="12"/>
                <w:szCs w:val="12"/>
              </w:rPr>
            </w:pPr>
            <w:r w:rsidRPr="00F9470A">
              <w:rPr>
                <w:rFonts w:ascii="Arial" w:hAnsi="Arial" w:cs="Arial"/>
                <w:color w:val="FF0000"/>
                <w:sz w:val="12"/>
                <w:szCs w:val="12"/>
              </w:rPr>
              <w:t>Confirmed</w:t>
            </w:r>
            <w:r w:rsidRPr="00F9470A">
              <w:rPr>
                <w:rFonts w:ascii="Arial" w:hAnsi="Arial" w:cs="Arial"/>
                <w:sz w:val="12"/>
                <w:szCs w:val="12"/>
              </w:rPr>
              <w:t xml:space="preserve">/Estimated Previous Year End Balance C/FWD </w:t>
            </w:r>
          </w:p>
        </w:tc>
        <w:tc>
          <w:tcPr>
            <w:tcW w:w="249" w:type="dxa"/>
            <w:tcBorders>
              <w:top w:val="single" w:sz="4" w:space="0" w:color="auto"/>
              <w:left w:val="single" w:sz="4" w:space="0" w:color="auto"/>
              <w:bottom w:val="nil"/>
              <w:right w:val="single" w:sz="4" w:space="0" w:color="auto"/>
            </w:tcBorders>
            <w:shd w:val="clear" w:color="000000" w:fill="FF0000"/>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 </w:t>
            </w:r>
          </w:p>
        </w:tc>
        <w:tc>
          <w:tcPr>
            <w:tcW w:w="250" w:type="dxa"/>
            <w:gridSpan w:val="2"/>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b/>
                <w:bCs/>
                <w:color w:val="FF0000"/>
                <w:sz w:val="12"/>
                <w:szCs w:val="12"/>
              </w:rPr>
            </w:pPr>
            <w:r w:rsidRPr="00F9470A">
              <w:rPr>
                <w:rFonts w:ascii="Arial" w:hAnsi="Arial" w:cs="Arial"/>
                <w:b/>
                <w:bCs/>
                <w:color w:val="FF0000"/>
                <w:sz w:val="12"/>
                <w:szCs w:val="12"/>
              </w:rPr>
              <w:t> </w:t>
            </w:r>
          </w:p>
        </w:tc>
        <w:tc>
          <w:tcPr>
            <w:tcW w:w="978" w:type="dxa"/>
            <w:tcBorders>
              <w:top w:val="nil"/>
              <w:left w:val="single" w:sz="4" w:space="0" w:color="auto"/>
              <w:bottom w:val="nil"/>
              <w:right w:val="single" w:sz="4" w:space="0" w:color="auto"/>
            </w:tcBorders>
            <w:shd w:val="clear" w:color="000000" w:fill="FF0000"/>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£53,557.35</w:t>
            </w:r>
          </w:p>
        </w:tc>
        <w:tc>
          <w:tcPr>
            <w:tcW w:w="648"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1134" w:type="dxa"/>
            <w:gridSpan w:val="2"/>
            <w:tcBorders>
              <w:top w:val="single" w:sz="4" w:space="0" w:color="auto"/>
              <w:left w:val="single" w:sz="12" w:space="0" w:color="auto"/>
              <w:bottom w:val="nil"/>
              <w:right w:val="single" w:sz="4" w:space="0" w:color="auto"/>
            </w:tcBorders>
            <w:shd w:val="clear" w:color="000000" w:fill="FF0000"/>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£60,256.66</w:t>
            </w:r>
          </w:p>
        </w:tc>
        <w:tc>
          <w:tcPr>
            <w:tcW w:w="637" w:type="dxa"/>
            <w:tcBorders>
              <w:top w:val="nil"/>
              <w:left w:val="nil"/>
              <w:bottom w:val="nil"/>
              <w:right w:val="single" w:sz="12" w:space="0" w:color="auto"/>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1064" w:type="dxa"/>
            <w:gridSpan w:val="2"/>
            <w:tcBorders>
              <w:top w:val="single" w:sz="4" w:space="0" w:color="auto"/>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£65,194.00</w:t>
            </w:r>
          </w:p>
        </w:tc>
        <w:tc>
          <w:tcPr>
            <w:tcW w:w="709"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single" w:sz="4" w:space="0" w:color="auto"/>
              <w:left w:val="single" w:sz="4" w:space="0" w:color="auto"/>
              <w:bottom w:val="nil"/>
              <w:right w:val="single" w:sz="4" w:space="0" w:color="auto"/>
            </w:tcBorders>
            <w:shd w:val="clear" w:color="000000" w:fill="CC99FF"/>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£59,708.83</w:t>
            </w:r>
          </w:p>
        </w:tc>
        <w:tc>
          <w:tcPr>
            <w:tcW w:w="675"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single" w:sz="4" w:space="0" w:color="auto"/>
              <w:left w:val="single" w:sz="4" w:space="0" w:color="auto"/>
              <w:bottom w:val="nil"/>
              <w:right w:val="single" w:sz="4" w:space="0" w:color="auto"/>
            </w:tcBorders>
            <w:shd w:val="clear" w:color="000000" w:fill="C4D79B"/>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£57,413.63</w:t>
            </w:r>
          </w:p>
        </w:tc>
        <w:tc>
          <w:tcPr>
            <w:tcW w:w="676"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992" w:type="dxa"/>
            <w:gridSpan w:val="2"/>
            <w:tcBorders>
              <w:top w:val="single" w:sz="4" w:space="0" w:color="auto"/>
              <w:left w:val="single" w:sz="4" w:space="0" w:color="auto"/>
              <w:bottom w:val="nil"/>
              <w:right w:val="single" w:sz="4" w:space="0" w:color="auto"/>
            </w:tcBorders>
            <w:shd w:val="clear" w:color="000000" w:fill="B8CCE4"/>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£58,306.00</w:t>
            </w:r>
          </w:p>
        </w:tc>
        <w:tc>
          <w:tcPr>
            <w:tcW w:w="637"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b/>
                <w:bCs/>
                <w:color w:val="FF0000"/>
                <w:sz w:val="12"/>
                <w:szCs w:val="12"/>
              </w:rPr>
            </w:pPr>
            <w:r w:rsidRPr="00F9470A">
              <w:rPr>
                <w:rFonts w:ascii="Arial" w:hAnsi="Arial" w:cs="Arial"/>
                <w:b/>
                <w:bCs/>
                <w:color w:val="FF0000"/>
                <w:sz w:val="12"/>
                <w:szCs w:val="12"/>
              </w:rPr>
              <w:t> </w:t>
            </w:r>
          </w:p>
        </w:tc>
        <w:tc>
          <w:tcPr>
            <w:tcW w:w="884" w:type="dxa"/>
            <w:gridSpan w:val="2"/>
            <w:tcBorders>
              <w:top w:val="single" w:sz="4" w:space="0" w:color="auto"/>
              <w:left w:val="single" w:sz="4" w:space="0" w:color="auto"/>
              <w:bottom w:val="nil"/>
              <w:right w:val="single" w:sz="4" w:space="0" w:color="auto"/>
            </w:tcBorders>
            <w:shd w:val="clear" w:color="000000" w:fill="FFFF99"/>
            <w:noWrap/>
            <w:vAlign w:val="bottom"/>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£55,821.13</w:t>
            </w:r>
          </w:p>
        </w:tc>
        <w:tc>
          <w:tcPr>
            <w:tcW w:w="747"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b/>
                <w:bCs/>
                <w:color w:val="FF0000"/>
                <w:sz w:val="12"/>
                <w:szCs w:val="12"/>
              </w:rPr>
            </w:pPr>
            <w:r w:rsidRPr="00F9470A">
              <w:rPr>
                <w:rFonts w:ascii="Arial" w:hAnsi="Arial" w:cs="Arial"/>
                <w:b/>
                <w:bCs/>
                <w:color w:val="FF0000"/>
                <w:sz w:val="12"/>
                <w:szCs w:val="12"/>
              </w:rPr>
              <w:t> </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b/>
                <w:bCs/>
                <w:color w:val="FF0000"/>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6D425F">
        <w:trPr>
          <w:gridAfter w:val="5"/>
          <w:wAfter w:w="661" w:type="dxa"/>
          <w:trHeight w:val="100"/>
        </w:trPr>
        <w:tc>
          <w:tcPr>
            <w:tcW w:w="2408" w:type="dxa"/>
            <w:tcBorders>
              <w:top w:val="nil"/>
              <w:left w:val="nil"/>
              <w:bottom w:val="nil"/>
              <w:right w:val="nil"/>
            </w:tcBorders>
            <w:shd w:val="clear" w:color="auto" w:fill="auto"/>
            <w:noWrap/>
            <w:vAlign w:val="bottom"/>
            <w:hideMark/>
          </w:tcPr>
          <w:p w:rsidR="00F9470A" w:rsidRPr="00F9470A" w:rsidRDefault="00F9470A">
            <w:pPr>
              <w:rPr>
                <w:rFonts w:ascii="Arial" w:hAnsi="Arial" w:cs="Arial"/>
                <w:sz w:val="12"/>
                <w:szCs w:val="12"/>
              </w:rPr>
            </w:pPr>
            <w:r w:rsidRPr="00F9470A">
              <w:rPr>
                <w:rFonts w:ascii="Arial" w:hAnsi="Arial" w:cs="Arial"/>
                <w:sz w:val="12"/>
                <w:szCs w:val="12"/>
              </w:rPr>
              <w:t>Full Budget Funding Shortfall</w:t>
            </w:r>
          </w:p>
        </w:tc>
        <w:tc>
          <w:tcPr>
            <w:tcW w:w="249" w:type="dxa"/>
            <w:tcBorders>
              <w:top w:val="single" w:sz="4" w:space="0" w:color="auto"/>
              <w:left w:val="single" w:sz="4" w:space="0" w:color="auto"/>
              <w:bottom w:val="nil"/>
              <w:right w:val="single" w:sz="4" w:space="0" w:color="auto"/>
            </w:tcBorders>
            <w:shd w:val="clear" w:color="000000" w:fill="FFFF99"/>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 </w:t>
            </w:r>
          </w:p>
        </w:tc>
        <w:tc>
          <w:tcPr>
            <w:tcW w:w="250" w:type="dxa"/>
            <w:gridSpan w:val="2"/>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b/>
                <w:bCs/>
                <w:color w:val="FF0000"/>
                <w:sz w:val="12"/>
                <w:szCs w:val="12"/>
              </w:rPr>
            </w:pPr>
            <w:r w:rsidRPr="00F9470A">
              <w:rPr>
                <w:rFonts w:ascii="Arial" w:hAnsi="Arial" w:cs="Arial"/>
                <w:b/>
                <w:bCs/>
                <w:color w:val="FF0000"/>
                <w:sz w:val="12"/>
                <w:szCs w:val="12"/>
              </w:rPr>
              <w:t> </w:t>
            </w:r>
          </w:p>
        </w:tc>
        <w:tc>
          <w:tcPr>
            <w:tcW w:w="978" w:type="dxa"/>
            <w:tcBorders>
              <w:top w:val="single" w:sz="4" w:space="0" w:color="auto"/>
              <w:left w:val="single" w:sz="4" w:space="0" w:color="auto"/>
              <w:bottom w:val="nil"/>
              <w:right w:val="single" w:sz="4" w:space="0" w:color="auto"/>
            </w:tcBorders>
            <w:shd w:val="clear" w:color="000000" w:fill="FF99CC"/>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£753,812.34</w:t>
            </w:r>
          </w:p>
        </w:tc>
        <w:tc>
          <w:tcPr>
            <w:tcW w:w="648"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b/>
                <w:bCs/>
                <w:color w:val="FF0000"/>
                <w:sz w:val="12"/>
                <w:szCs w:val="12"/>
              </w:rPr>
            </w:pPr>
            <w:r w:rsidRPr="00F9470A">
              <w:rPr>
                <w:rFonts w:ascii="Arial" w:hAnsi="Arial" w:cs="Arial"/>
                <w:b/>
                <w:bCs/>
                <w:color w:val="FF0000"/>
                <w:sz w:val="12"/>
                <w:szCs w:val="12"/>
              </w:rPr>
              <w:t> </w:t>
            </w:r>
          </w:p>
        </w:tc>
        <w:tc>
          <w:tcPr>
            <w:tcW w:w="1134" w:type="dxa"/>
            <w:gridSpan w:val="2"/>
            <w:tcBorders>
              <w:top w:val="single" w:sz="4" w:space="0" w:color="auto"/>
              <w:left w:val="single" w:sz="12" w:space="0" w:color="auto"/>
              <w:bottom w:val="nil"/>
              <w:right w:val="single" w:sz="4" w:space="0" w:color="auto"/>
            </w:tcBorders>
            <w:shd w:val="clear" w:color="000000" w:fill="FABF8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£741,924.00</w:t>
            </w:r>
          </w:p>
        </w:tc>
        <w:tc>
          <w:tcPr>
            <w:tcW w:w="637" w:type="dxa"/>
            <w:tcBorders>
              <w:top w:val="nil"/>
              <w:left w:val="nil"/>
              <w:bottom w:val="nil"/>
              <w:right w:val="single" w:sz="12" w:space="0" w:color="auto"/>
            </w:tcBorders>
            <w:shd w:val="clear" w:color="000000" w:fill="FFFFFF"/>
            <w:noWrap/>
            <w:vAlign w:val="bottom"/>
            <w:hideMark/>
          </w:tcPr>
          <w:p w:rsidR="00F9470A" w:rsidRPr="00F9470A" w:rsidRDefault="00F9470A">
            <w:pPr>
              <w:jc w:val="center"/>
              <w:rPr>
                <w:rFonts w:ascii="Arial" w:hAnsi="Arial" w:cs="Arial"/>
                <w:b/>
                <w:bCs/>
                <w:color w:val="FF0000"/>
                <w:sz w:val="12"/>
                <w:szCs w:val="12"/>
              </w:rPr>
            </w:pPr>
            <w:r w:rsidRPr="00F9470A">
              <w:rPr>
                <w:rFonts w:ascii="Arial" w:hAnsi="Arial" w:cs="Arial"/>
                <w:b/>
                <w:bCs/>
                <w:color w:val="FF0000"/>
                <w:sz w:val="12"/>
                <w:szCs w:val="12"/>
              </w:rPr>
              <w:t> </w:t>
            </w:r>
          </w:p>
        </w:tc>
        <w:tc>
          <w:tcPr>
            <w:tcW w:w="1064" w:type="dxa"/>
            <w:gridSpan w:val="2"/>
            <w:tcBorders>
              <w:top w:val="single" w:sz="4" w:space="0" w:color="auto"/>
              <w:left w:val="nil"/>
              <w:bottom w:val="nil"/>
              <w:right w:val="single" w:sz="4" w:space="0" w:color="auto"/>
            </w:tcBorders>
            <w:shd w:val="clear" w:color="000000" w:fill="FFFF00"/>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£742,182.99</w:t>
            </w:r>
          </w:p>
        </w:tc>
        <w:tc>
          <w:tcPr>
            <w:tcW w:w="709"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b/>
                <w:bCs/>
                <w:color w:val="FF0000"/>
                <w:sz w:val="12"/>
                <w:szCs w:val="12"/>
              </w:rPr>
            </w:pPr>
            <w:r w:rsidRPr="00F9470A">
              <w:rPr>
                <w:rFonts w:ascii="Arial" w:hAnsi="Arial" w:cs="Arial"/>
                <w:b/>
                <w:bCs/>
                <w:color w:val="FF0000"/>
                <w:sz w:val="12"/>
                <w:szCs w:val="12"/>
              </w:rPr>
              <w:t> </w:t>
            </w:r>
          </w:p>
        </w:tc>
        <w:tc>
          <w:tcPr>
            <w:tcW w:w="884" w:type="dxa"/>
            <w:gridSpan w:val="2"/>
            <w:tcBorders>
              <w:top w:val="single" w:sz="4" w:space="0" w:color="auto"/>
              <w:left w:val="single" w:sz="4" w:space="0" w:color="auto"/>
              <w:bottom w:val="nil"/>
              <w:right w:val="single" w:sz="4" w:space="0" w:color="auto"/>
            </w:tcBorders>
            <w:shd w:val="clear" w:color="000000" w:fill="CC99F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£767,981.99</w:t>
            </w:r>
          </w:p>
        </w:tc>
        <w:tc>
          <w:tcPr>
            <w:tcW w:w="675"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b/>
                <w:bCs/>
                <w:color w:val="FF0000"/>
                <w:sz w:val="12"/>
                <w:szCs w:val="12"/>
              </w:rPr>
            </w:pPr>
            <w:r w:rsidRPr="00F9470A">
              <w:rPr>
                <w:rFonts w:ascii="Arial" w:hAnsi="Arial" w:cs="Arial"/>
                <w:b/>
                <w:bCs/>
                <w:color w:val="FF0000"/>
                <w:sz w:val="12"/>
                <w:szCs w:val="12"/>
              </w:rPr>
              <w:t> </w:t>
            </w:r>
          </w:p>
        </w:tc>
        <w:tc>
          <w:tcPr>
            <w:tcW w:w="884" w:type="dxa"/>
            <w:gridSpan w:val="2"/>
            <w:tcBorders>
              <w:top w:val="single" w:sz="4" w:space="0" w:color="auto"/>
              <w:left w:val="single" w:sz="4" w:space="0" w:color="auto"/>
              <w:bottom w:val="nil"/>
              <w:right w:val="single" w:sz="4" w:space="0" w:color="auto"/>
            </w:tcBorders>
            <w:shd w:val="clear" w:color="000000" w:fill="C4D79B"/>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£779,825.42</w:t>
            </w:r>
          </w:p>
        </w:tc>
        <w:tc>
          <w:tcPr>
            <w:tcW w:w="676"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b/>
                <w:bCs/>
                <w:color w:val="FF0000"/>
                <w:sz w:val="12"/>
                <w:szCs w:val="12"/>
              </w:rPr>
            </w:pPr>
            <w:r w:rsidRPr="00F9470A">
              <w:rPr>
                <w:rFonts w:ascii="Arial" w:hAnsi="Arial" w:cs="Arial"/>
                <w:b/>
                <w:bCs/>
                <w:color w:val="FF0000"/>
                <w:sz w:val="12"/>
                <w:szCs w:val="12"/>
              </w:rPr>
              <w:t> </w:t>
            </w:r>
          </w:p>
        </w:tc>
        <w:tc>
          <w:tcPr>
            <w:tcW w:w="992" w:type="dxa"/>
            <w:gridSpan w:val="2"/>
            <w:tcBorders>
              <w:top w:val="single" w:sz="4" w:space="0" w:color="auto"/>
              <w:left w:val="single" w:sz="4" w:space="0" w:color="auto"/>
              <w:bottom w:val="nil"/>
              <w:right w:val="single" w:sz="4" w:space="0" w:color="auto"/>
            </w:tcBorders>
            <w:shd w:val="clear" w:color="000000" w:fill="B8CCE4"/>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£796,782.79</w:t>
            </w:r>
          </w:p>
        </w:tc>
        <w:tc>
          <w:tcPr>
            <w:tcW w:w="637" w:type="dxa"/>
            <w:tcBorders>
              <w:top w:val="nil"/>
              <w:left w:val="nil"/>
              <w:bottom w:val="single" w:sz="4" w:space="0" w:color="auto"/>
              <w:right w:val="nil"/>
            </w:tcBorders>
            <w:shd w:val="clear" w:color="000000" w:fill="FFFFFF"/>
            <w:noWrap/>
            <w:vAlign w:val="bottom"/>
            <w:hideMark/>
          </w:tcPr>
          <w:p w:rsidR="00F9470A" w:rsidRPr="00F9470A" w:rsidRDefault="00F9470A">
            <w:pPr>
              <w:jc w:val="center"/>
              <w:rPr>
                <w:rFonts w:ascii="Arial" w:hAnsi="Arial" w:cs="Arial"/>
                <w:b/>
                <w:bCs/>
                <w:color w:val="FF0000"/>
                <w:sz w:val="12"/>
                <w:szCs w:val="12"/>
              </w:rPr>
            </w:pPr>
            <w:r w:rsidRPr="00F9470A">
              <w:rPr>
                <w:rFonts w:ascii="Arial" w:hAnsi="Arial" w:cs="Arial"/>
                <w:b/>
                <w:bCs/>
                <w:color w:val="FF0000"/>
                <w:sz w:val="12"/>
                <w:szCs w:val="12"/>
              </w:rPr>
              <w:t> </w:t>
            </w:r>
          </w:p>
        </w:tc>
        <w:tc>
          <w:tcPr>
            <w:tcW w:w="884" w:type="dxa"/>
            <w:gridSpan w:val="2"/>
            <w:tcBorders>
              <w:top w:val="single" w:sz="4" w:space="0" w:color="auto"/>
              <w:left w:val="single" w:sz="4" w:space="0" w:color="auto"/>
              <w:bottom w:val="nil"/>
              <w:right w:val="single" w:sz="4" w:space="0" w:color="auto"/>
            </w:tcBorders>
            <w:shd w:val="clear" w:color="000000" w:fill="FFFF99"/>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£848,783.20</w:t>
            </w:r>
          </w:p>
        </w:tc>
        <w:tc>
          <w:tcPr>
            <w:tcW w:w="747"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b/>
                <w:bCs/>
                <w:color w:val="FF0000"/>
                <w:sz w:val="12"/>
                <w:szCs w:val="12"/>
              </w:rPr>
            </w:pPr>
            <w:r w:rsidRPr="00F9470A">
              <w:rPr>
                <w:rFonts w:ascii="Arial" w:hAnsi="Arial" w:cs="Arial"/>
                <w:b/>
                <w:bCs/>
                <w:color w:val="FF0000"/>
                <w:sz w:val="12"/>
                <w:szCs w:val="12"/>
              </w:rPr>
              <w:t> </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b/>
                <w:bCs/>
                <w:color w:val="FF0000"/>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6D425F">
        <w:trPr>
          <w:gridAfter w:val="5"/>
          <w:wAfter w:w="665" w:type="dxa"/>
          <w:trHeight w:val="305"/>
        </w:trPr>
        <w:tc>
          <w:tcPr>
            <w:tcW w:w="2408" w:type="dxa"/>
            <w:tcBorders>
              <w:top w:val="nil"/>
              <w:left w:val="nil"/>
              <w:bottom w:val="single" w:sz="12" w:space="0" w:color="auto"/>
              <w:right w:val="nil"/>
            </w:tcBorders>
            <w:shd w:val="clear" w:color="auto" w:fill="auto"/>
            <w:vAlign w:val="bottom"/>
            <w:hideMark/>
          </w:tcPr>
          <w:p w:rsidR="00F9470A" w:rsidRPr="00F9470A" w:rsidRDefault="00F9470A">
            <w:pPr>
              <w:rPr>
                <w:rFonts w:ascii="Arial" w:hAnsi="Arial" w:cs="Arial"/>
                <w:b/>
                <w:bCs/>
                <w:sz w:val="12"/>
                <w:szCs w:val="12"/>
              </w:rPr>
            </w:pPr>
            <w:r w:rsidRPr="00F9470A">
              <w:rPr>
                <w:rFonts w:ascii="Arial" w:hAnsi="Arial" w:cs="Arial"/>
                <w:b/>
                <w:bCs/>
                <w:sz w:val="12"/>
                <w:szCs w:val="12"/>
              </w:rPr>
              <w:t xml:space="preserve">Less Local Council Tax Scheme Grant Funding </w:t>
            </w:r>
            <w:r w:rsidRPr="00F9470A">
              <w:rPr>
                <w:rFonts w:ascii="Arial" w:hAnsi="Arial" w:cs="Arial"/>
                <w:color w:val="FF0000"/>
                <w:sz w:val="12"/>
                <w:szCs w:val="12"/>
              </w:rPr>
              <w:t>confirmed</w:t>
            </w:r>
            <w:r w:rsidRPr="00F9470A">
              <w:rPr>
                <w:rFonts w:ascii="Arial" w:hAnsi="Arial" w:cs="Arial"/>
                <w:sz w:val="12"/>
                <w:szCs w:val="12"/>
              </w:rPr>
              <w:t xml:space="preserve">/projected by Sth Glos reduced to 0% p/a wef 2016/17 </w:t>
            </w:r>
          </w:p>
        </w:tc>
        <w:tc>
          <w:tcPr>
            <w:tcW w:w="249" w:type="dxa"/>
            <w:tcBorders>
              <w:top w:val="single" w:sz="4" w:space="0" w:color="auto"/>
              <w:left w:val="single" w:sz="4" w:space="0" w:color="auto"/>
              <w:bottom w:val="nil"/>
              <w:right w:val="single" w:sz="4" w:space="0" w:color="auto"/>
            </w:tcBorders>
            <w:shd w:val="clear" w:color="000000" w:fill="FF0000"/>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 </w:t>
            </w:r>
          </w:p>
        </w:tc>
        <w:tc>
          <w:tcPr>
            <w:tcW w:w="250" w:type="dxa"/>
            <w:gridSpan w:val="2"/>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b/>
                <w:bCs/>
                <w:color w:val="FF0000"/>
                <w:sz w:val="12"/>
                <w:szCs w:val="12"/>
              </w:rPr>
            </w:pPr>
            <w:r w:rsidRPr="00F9470A">
              <w:rPr>
                <w:rFonts w:ascii="Arial" w:hAnsi="Arial" w:cs="Arial"/>
                <w:b/>
                <w:bCs/>
                <w:color w:val="FF0000"/>
                <w:sz w:val="12"/>
                <w:szCs w:val="12"/>
              </w:rPr>
              <w:t> </w:t>
            </w:r>
          </w:p>
        </w:tc>
        <w:tc>
          <w:tcPr>
            <w:tcW w:w="978" w:type="dxa"/>
            <w:tcBorders>
              <w:top w:val="single" w:sz="4" w:space="0" w:color="auto"/>
              <w:left w:val="single" w:sz="4" w:space="0" w:color="auto"/>
              <w:bottom w:val="single" w:sz="12" w:space="0" w:color="auto"/>
              <w:right w:val="single" w:sz="4" w:space="0" w:color="auto"/>
            </w:tcBorders>
            <w:shd w:val="clear" w:color="000000" w:fill="FF0000"/>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£19,073.00</w:t>
            </w:r>
          </w:p>
        </w:tc>
        <w:tc>
          <w:tcPr>
            <w:tcW w:w="648" w:type="dxa"/>
            <w:tcBorders>
              <w:top w:val="single" w:sz="4" w:space="0" w:color="auto"/>
              <w:left w:val="nil"/>
              <w:bottom w:val="single" w:sz="12" w:space="0" w:color="auto"/>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-52.67%</w:t>
            </w:r>
          </w:p>
        </w:tc>
        <w:tc>
          <w:tcPr>
            <w:tcW w:w="1134" w:type="dxa"/>
            <w:gridSpan w:val="2"/>
            <w:tcBorders>
              <w:top w:val="single" w:sz="4" w:space="0" w:color="auto"/>
              <w:left w:val="single" w:sz="12" w:space="0" w:color="auto"/>
              <w:bottom w:val="single" w:sz="12" w:space="0" w:color="auto"/>
              <w:right w:val="single" w:sz="4" w:space="0" w:color="auto"/>
            </w:tcBorders>
            <w:shd w:val="clear" w:color="000000" w:fill="FF0000"/>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£11,130.00</w:t>
            </w:r>
          </w:p>
        </w:tc>
        <w:tc>
          <w:tcPr>
            <w:tcW w:w="637" w:type="dxa"/>
            <w:tcBorders>
              <w:top w:val="single" w:sz="4" w:space="0" w:color="auto"/>
              <w:left w:val="nil"/>
              <w:bottom w:val="single" w:sz="12" w:space="0" w:color="auto"/>
              <w:right w:val="single" w:sz="12" w:space="0" w:color="auto"/>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-41.65%</w:t>
            </w:r>
          </w:p>
        </w:tc>
        <w:tc>
          <w:tcPr>
            <w:tcW w:w="1064" w:type="dxa"/>
            <w:gridSpan w:val="2"/>
            <w:tcBorders>
              <w:top w:val="single" w:sz="4" w:space="0" w:color="auto"/>
              <w:left w:val="nil"/>
              <w:bottom w:val="single" w:sz="12" w:space="0" w:color="auto"/>
              <w:right w:val="single" w:sz="4" w:space="0" w:color="auto"/>
            </w:tcBorders>
            <w:shd w:val="clear" w:color="000000" w:fill="FFFFF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£6,599.00</w:t>
            </w:r>
          </w:p>
        </w:tc>
        <w:tc>
          <w:tcPr>
            <w:tcW w:w="709" w:type="dxa"/>
            <w:tcBorders>
              <w:top w:val="single" w:sz="4" w:space="0" w:color="auto"/>
              <w:left w:val="nil"/>
              <w:bottom w:val="single" w:sz="12" w:space="0" w:color="auto"/>
              <w:right w:val="single" w:sz="4" w:space="0" w:color="auto"/>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0.00%</w:t>
            </w:r>
          </w:p>
        </w:tc>
        <w:tc>
          <w:tcPr>
            <w:tcW w:w="884" w:type="dxa"/>
            <w:gridSpan w:val="2"/>
            <w:tcBorders>
              <w:top w:val="single" w:sz="4" w:space="0" w:color="auto"/>
              <w:left w:val="nil"/>
              <w:bottom w:val="single" w:sz="12" w:space="0" w:color="auto"/>
              <w:right w:val="single" w:sz="4" w:space="0" w:color="auto"/>
            </w:tcBorders>
            <w:shd w:val="clear" w:color="000000" w:fill="FFFFF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£0.00</w:t>
            </w:r>
          </w:p>
        </w:tc>
        <w:tc>
          <w:tcPr>
            <w:tcW w:w="675" w:type="dxa"/>
            <w:tcBorders>
              <w:top w:val="single" w:sz="4" w:space="0" w:color="auto"/>
              <w:left w:val="nil"/>
              <w:bottom w:val="single" w:sz="12" w:space="0" w:color="auto"/>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0.00%</w:t>
            </w:r>
          </w:p>
        </w:tc>
        <w:tc>
          <w:tcPr>
            <w:tcW w:w="884" w:type="dxa"/>
            <w:gridSpan w:val="2"/>
            <w:tcBorders>
              <w:top w:val="single" w:sz="4" w:space="0" w:color="auto"/>
              <w:left w:val="single" w:sz="4" w:space="0" w:color="auto"/>
              <w:bottom w:val="single" w:sz="12" w:space="0" w:color="auto"/>
              <w:right w:val="single" w:sz="4" w:space="0" w:color="auto"/>
            </w:tcBorders>
            <w:shd w:val="clear" w:color="000000" w:fill="FFFFF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£0.00</w:t>
            </w:r>
          </w:p>
        </w:tc>
        <w:tc>
          <w:tcPr>
            <w:tcW w:w="676" w:type="dxa"/>
            <w:tcBorders>
              <w:top w:val="single" w:sz="4" w:space="0" w:color="auto"/>
              <w:left w:val="nil"/>
              <w:bottom w:val="single" w:sz="12" w:space="0" w:color="auto"/>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0.00%</w:t>
            </w:r>
          </w:p>
        </w:tc>
        <w:tc>
          <w:tcPr>
            <w:tcW w:w="992" w:type="dxa"/>
            <w:gridSpan w:val="2"/>
            <w:tcBorders>
              <w:top w:val="single" w:sz="4" w:space="0" w:color="auto"/>
              <w:left w:val="single" w:sz="4" w:space="0" w:color="auto"/>
              <w:bottom w:val="single" w:sz="12" w:space="0" w:color="auto"/>
              <w:right w:val="single" w:sz="4" w:space="0" w:color="auto"/>
            </w:tcBorders>
            <w:shd w:val="clear" w:color="000000" w:fill="FFFFF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£0.00</w:t>
            </w:r>
          </w:p>
        </w:tc>
        <w:tc>
          <w:tcPr>
            <w:tcW w:w="1521" w:type="dxa"/>
            <w:gridSpan w:val="3"/>
            <w:tcBorders>
              <w:top w:val="single" w:sz="4" w:space="0" w:color="auto"/>
              <w:left w:val="nil"/>
              <w:bottom w:val="nil"/>
              <w:right w:val="single" w:sz="4" w:space="0" w:color="000000"/>
            </w:tcBorders>
            <w:shd w:val="clear" w:color="000000" w:fill="FFFFFF"/>
            <w:vAlign w:val="bottom"/>
            <w:hideMark/>
          </w:tcPr>
          <w:p w:rsidR="00F9470A" w:rsidRPr="00F9470A" w:rsidRDefault="00F9470A">
            <w:pPr>
              <w:rPr>
                <w:rFonts w:ascii="Arial" w:hAnsi="Arial" w:cs="Arial"/>
                <w:b/>
                <w:bCs/>
                <w:color w:val="FF0000"/>
                <w:sz w:val="12"/>
                <w:szCs w:val="12"/>
              </w:rPr>
            </w:pPr>
            <w:r w:rsidRPr="00F9470A">
              <w:rPr>
                <w:rFonts w:ascii="Arial" w:hAnsi="Arial" w:cs="Arial"/>
                <w:b/>
                <w:bCs/>
                <w:color w:val="FF0000"/>
                <w:sz w:val="12"/>
                <w:szCs w:val="12"/>
              </w:rPr>
              <w:t> </w:t>
            </w:r>
          </w:p>
        </w:tc>
        <w:tc>
          <w:tcPr>
            <w:tcW w:w="2195" w:type="dxa"/>
            <w:gridSpan w:val="9"/>
            <w:tcBorders>
              <w:top w:val="single" w:sz="4" w:space="0" w:color="auto"/>
              <w:left w:val="nil"/>
              <w:bottom w:val="single" w:sz="12" w:space="0" w:color="auto"/>
              <w:right w:val="single" w:sz="4" w:space="0" w:color="000000"/>
            </w:tcBorders>
            <w:shd w:val="clear" w:color="auto" w:fill="auto"/>
            <w:vAlign w:val="bottom"/>
            <w:hideMark/>
          </w:tcPr>
          <w:p w:rsidR="00F9470A" w:rsidRPr="00F9470A" w:rsidRDefault="00F9470A">
            <w:pPr>
              <w:rPr>
                <w:rFonts w:ascii="Arial" w:hAnsi="Arial" w:cs="Arial"/>
                <w:sz w:val="12"/>
                <w:szCs w:val="12"/>
              </w:rPr>
            </w:pPr>
            <w:r w:rsidRPr="00F9470A">
              <w:rPr>
                <w:rFonts w:ascii="Arial" w:hAnsi="Arial" w:cs="Arial"/>
                <w:sz w:val="12"/>
                <w:szCs w:val="12"/>
              </w:rPr>
              <w:t xml:space="preserve">2018.19 LCTR Confirmed by SGC. Provisional figures are £2751 for 2019/20 + £0 thereafter but £0 applied for 2019/20 onwards . </w:t>
            </w:r>
          </w:p>
        </w:tc>
      </w:tr>
      <w:tr w:rsidR="00F9470A" w:rsidTr="006D425F">
        <w:trPr>
          <w:gridAfter w:val="5"/>
          <w:wAfter w:w="665" w:type="dxa"/>
          <w:trHeight w:val="218"/>
        </w:trPr>
        <w:tc>
          <w:tcPr>
            <w:tcW w:w="2408" w:type="dxa"/>
            <w:tcBorders>
              <w:top w:val="nil"/>
              <w:left w:val="single" w:sz="12" w:space="0" w:color="auto"/>
              <w:bottom w:val="single" w:sz="4" w:space="0" w:color="auto"/>
              <w:right w:val="single" w:sz="4" w:space="0" w:color="auto"/>
            </w:tcBorders>
            <w:shd w:val="clear" w:color="000000" w:fill="FFFFFF"/>
            <w:vAlign w:val="bottom"/>
            <w:hideMark/>
          </w:tcPr>
          <w:p w:rsidR="00F9470A" w:rsidRPr="00F9470A" w:rsidRDefault="00F9470A">
            <w:pPr>
              <w:rPr>
                <w:rFonts w:ascii="Arial" w:hAnsi="Arial" w:cs="Arial"/>
                <w:b/>
                <w:bCs/>
                <w:sz w:val="12"/>
                <w:szCs w:val="12"/>
              </w:rPr>
            </w:pPr>
            <w:r w:rsidRPr="00F9470A">
              <w:rPr>
                <w:rFonts w:ascii="Arial" w:hAnsi="Arial" w:cs="Arial"/>
                <w:color w:val="FF0000"/>
                <w:sz w:val="12"/>
                <w:szCs w:val="12"/>
              </w:rPr>
              <w:t>Approved</w:t>
            </w:r>
            <w:r w:rsidRPr="00F9470A">
              <w:rPr>
                <w:rFonts w:ascii="Arial" w:hAnsi="Arial" w:cs="Arial"/>
                <w:sz w:val="12"/>
                <w:szCs w:val="12"/>
              </w:rPr>
              <w:t>/Estimated Precept per Band D property</w:t>
            </w:r>
          </w:p>
        </w:tc>
        <w:tc>
          <w:tcPr>
            <w:tcW w:w="249" w:type="dxa"/>
            <w:tcBorders>
              <w:top w:val="single" w:sz="12" w:space="0" w:color="auto"/>
              <w:left w:val="single" w:sz="4" w:space="0" w:color="auto"/>
              <w:bottom w:val="single" w:sz="4" w:space="0" w:color="auto"/>
              <w:right w:val="single" w:sz="4" w:space="0" w:color="auto"/>
            </w:tcBorders>
            <w:shd w:val="clear" w:color="000000" w:fill="FF0000"/>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 </w:t>
            </w:r>
          </w:p>
        </w:tc>
        <w:tc>
          <w:tcPr>
            <w:tcW w:w="250" w:type="dxa"/>
            <w:gridSpan w:val="2"/>
            <w:tcBorders>
              <w:top w:val="single" w:sz="12" w:space="0" w:color="auto"/>
              <w:left w:val="nil"/>
              <w:bottom w:val="single" w:sz="4" w:space="0" w:color="auto"/>
              <w:right w:val="nil"/>
            </w:tcBorders>
            <w:shd w:val="clear" w:color="000000" w:fill="FFFF99"/>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978" w:type="dxa"/>
            <w:tcBorders>
              <w:top w:val="nil"/>
              <w:left w:val="single" w:sz="4" w:space="0" w:color="auto"/>
              <w:bottom w:val="single" w:sz="4" w:space="0" w:color="auto"/>
              <w:right w:val="single" w:sz="4" w:space="0" w:color="auto"/>
            </w:tcBorders>
            <w:shd w:val="clear" w:color="000000" w:fill="FF0000"/>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£115.20</w:t>
            </w:r>
          </w:p>
        </w:tc>
        <w:tc>
          <w:tcPr>
            <w:tcW w:w="648" w:type="dxa"/>
            <w:tcBorders>
              <w:top w:val="nil"/>
              <w:left w:val="nil"/>
              <w:bottom w:val="single" w:sz="4" w:space="0" w:color="auto"/>
              <w:right w:val="nil"/>
            </w:tcBorders>
            <w:shd w:val="clear" w:color="000000" w:fill="FF99CC"/>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1.50%</w:t>
            </w:r>
          </w:p>
        </w:tc>
        <w:tc>
          <w:tcPr>
            <w:tcW w:w="1134" w:type="dxa"/>
            <w:gridSpan w:val="2"/>
            <w:tcBorders>
              <w:top w:val="nil"/>
              <w:left w:val="single" w:sz="12" w:space="0" w:color="auto"/>
              <w:bottom w:val="single" w:sz="4" w:space="0" w:color="auto"/>
              <w:right w:val="single" w:sz="4" w:space="0" w:color="auto"/>
            </w:tcBorders>
            <w:shd w:val="clear" w:color="000000" w:fill="FF0000"/>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£115.78</w:t>
            </w:r>
          </w:p>
        </w:tc>
        <w:tc>
          <w:tcPr>
            <w:tcW w:w="637" w:type="dxa"/>
            <w:tcBorders>
              <w:top w:val="nil"/>
              <w:left w:val="nil"/>
              <w:bottom w:val="single" w:sz="4" w:space="0" w:color="auto"/>
              <w:right w:val="single" w:sz="12" w:space="0" w:color="auto"/>
            </w:tcBorders>
            <w:shd w:val="clear" w:color="000000" w:fill="FABF8F"/>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0.50%</w:t>
            </w:r>
          </w:p>
        </w:tc>
        <w:tc>
          <w:tcPr>
            <w:tcW w:w="1064" w:type="dxa"/>
            <w:gridSpan w:val="2"/>
            <w:tcBorders>
              <w:top w:val="nil"/>
              <w:left w:val="nil"/>
              <w:bottom w:val="single" w:sz="4" w:space="0" w:color="auto"/>
              <w:right w:val="single" w:sz="4" w:space="0" w:color="auto"/>
            </w:tcBorders>
            <w:shd w:val="clear" w:color="000000" w:fill="FF3737"/>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£115.78</w:t>
            </w:r>
          </w:p>
        </w:tc>
        <w:tc>
          <w:tcPr>
            <w:tcW w:w="709" w:type="dxa"/>
            <w:tcBorders>
              <w:top w:val="nil"/>
              <w:left w:val="nil"/>
              <w:bottom w:val="single" w:sz="4" w:space="0" w:color="auto"/>
              <w:right w:val="nil"/>
            </w:tcBorders>
            <w:shd w:val="clear" w:color="000000" w:fill="FFFF00"/>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0.00%</w:t>
            </w:r>
          </w:p>
        </w:tc>
        <w:tc>
          <w:tcPr>
            <w:tcW w:w="884"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£115.78</w:t>
            </w:r>
          </w:p>
        </w:tc>
        <w:tc>
          <w:tcPr>
            <w:tcW w:w="675" w:type="dxa"/>
            <w:tcBorders>
              <w:top w:val="nil"/>
              <w:left w:val="nil"/>
              <w:bottom w:val="single" w:sz="4" w:space="0" w:color="auto"/>
              <w:right w:val="single" w:sz="4" w:space="0" w:color="auto"/>
            </w:tcBorders>
            <w:shd w:val="clear" w:color="000000" w:fill="CC99FF"/>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0.00%</w:t>
            </w:r>
          </w:p>
        </w:tc>
        <w:tc>
          <w:tcPr>
            <w:tcW w:w="884" w:type="dxa"/>
            <w:gridSpan w:val="2"/>
            <w:tcBorders>
              <w:top w:val="nil"/>
              <w:left w:val="nil"/>
              <w:bottom w:val="single" w:sz="4" w:space="0" w:color="auto"/>
              <w:right w:val="single" w:sz="4" w:space="0" w:color="auto"/>
            </w:tcBorders>
            <w:shd w:val="clear" w:color="000000" w:fill="FFFFFF"/>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£115.78</w:t>
            </w:r>
          </w:p>
        </w:tc>
        <w:tc>
          <w:tcPr>
            <w:tcW w:w="676" w:type="dxa"/>
            <w:tcBorders>
              <w:top w:val="nil"/>
              <w:left w:val="nil"/>
              <w:bottom w:val="nil"/>
              <w:right w:val="nil"/>
            </w:tcBorders>
            <w:shd w:val="clear" w:color="000000" w:fill="EBF1DE"/>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0.00%</w:t>
            </w:r>
          </w:p>
        </w:tc>
        <w:tc>
          <w:tcPr>
            <w:tcW w:w="992"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£115.78</w:t>
            </w:r>
          </w:p>
        </w:tc>
        <w:tc>
          <w:tcPr>
            <w:tcW w:w="637" w:type="dxa"/>
            <w:tcBorders>
              <w:top w:val="single" w:sz="12" w:space="0" w:color="auto"/>
              <w:left w:val="nil"/>
              <w:bottom w:val="single" w:sz="4" w:space="0" w:color="auto"/>
              <w:right w:val="single" w:sz="4" w:space="0" w:color="auto"/>
            </w:tcBorders>
            <w:shd w:val="clear" w:color="000000" w:fill="B8CCE4"/>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0.00%</w:t>
            </w:r>
          </w:p>
        </w:tc>
        <w:tc>
          <w:tcPr>
            <w:tcW w:w="884" w:type="dxa"/>
            <w:gridSpan w:val="2"/>
            <w:tcBorders>
              <w:top w:val="single" w:sz="12" w:space="0" w:color="auto"/>
              <w:left w:val="nil"/>
              <w:bottom w:val="single" w:sz="4" w:space="0" w:color="auto"/>
              <w:right w:val="single" w:sz="4" w:space="0" w:color="auto"/>
            </w:tcBorders>
            <w:shd w:val="clear" w:color="000000" w:fill="FFFFFF"/>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£115.78</w:t>
            </w:r>
          </w:p>
        </w:tc>
        <w:tc>
          <w:tcPr>
            <w:tcW w:w="747" w:type="dxa"/>
            <w:tcBorders>
              <w:top w:val="nil"/>
              <w:left w:val="nil"/>
              <w:bottom w:val="nil"/>
              <w:right w:val="single" w:sz="12" w:space="0" w:color="auto"/>
            </w:tcBorders>
            <w:shd w:val="clear" w:color="000000" w:fill="FFFF99"/>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0.00%</w:t>
            </w:r>
          </w:p>
        </w:tc>
        <w:tc>
          <w:tcPr>
            <w:tcW w:w="1448" w:type="dxa"/>
            <w:gridSpan w:val="8"/>
            <w:tcBorders>
              <w:top w:val="single" w:sz="12" w:space="0" w:color="auto"/>
              <w:left w:val="nil"/>
              <w:bottom w:val="single" w:sz="12" w:space="0" w:color="auto"/>
              <w:right w:val="single" w:sz="12" w:space="0" w:color="000000"/>
            </w:tcBorders>
            <w:shd w:val="clear" w:color="auto" w:fill="auto"/>
            <w:vAlign w:val="center"/>
            <w:hideMark/>
          </w:tcPr>
          <w:p w:rsidR="00F9470A" w:rsidRPr="00F9470A" w:rsidRDefault="00F9470A">
            <w:pPr>
              <w:rPr>
                <w:rFonts w:ascii="Arial" w:hAnsi="Arial" w:cs="Arial"/>
                <w:b/>
                <w:bCs/>
                <w:color w:val="FF0000"/>
                <w:sz w:val="12"/>
                <w:szCs w:val="12"/>
              </w:rPr>
            </w:pPr>
            <w:r w:rsidRPr="00F9470A">
              <w:rPr>
                <w:rFonts w:ascii="Arial" w:hAnsi="Arial" w:cs="Arial"/>
                <w:b/>
                <w:bCs/>
                <w:color w:val="FF0000"/>
                <w:sz w:val="12"/>
                <w:szCs w:val="12"/>
              </w:rPr>
              <w:t>Precept forecast @ 0% wef 2019/20</w:t>
            </w:r>
          </w:p>
        </w:tc>
      </w:tr>
      <w:tr w:rsidR="00F9470A" w:rsidTr="006D425F">
        <w:trPr>
          <w:gridAfter w:val="5"/>
          <w:wAfter w:w="665" w:type="dxa"/>
          <w:trHeight w:val="199"/>
        </w:trPr>
        <w:tc>
          <w:tcPr>
            <w:tcW w:w="2408" w:type="dxa"/>
            <w:tcBorders>
              <w:top w:val="nil"/>
              <w:left w:val="single" w:sz="12" w:space="0" w:color="auto"/>
              <w:bottom w:val="single" w:sz="12" w:space="0" w:color="auto"/>
              <w:right w:val="single" w:sz="4" w:space="0" w:color="auto"/>
            </w:tcBorders>
            <w:shd w:val="clear" w:color="000000" w:fill="FFFFFF"/>
            <w:vAlign w:val="bottom"/>
            <w:hideMark/>
          </w:tcPr>
          <w:p w:rsidR="00F9470A" w:rsidRPr="00F9470A" w:rsidRDefault="00F9470A">
            <w:pPr>
              <w:rPr>
                <w:rFonts w:ascii="Arial" w:hAnsi="Arial" w:cs="Arial"/>
                <w:b/>
                <w:bCs/>
                <w:sz w:val="12"/>
                <w:szCs w:val="12"/>
              </w:rPr>
            </w:pPr>
            <w:r w:rsidRPr="00F9470A">
              <w:rPr>
                <w:rFonts w:ascii="Arial" w:hAnsi="Arial" w:cs="Arial"/>
                <w:color w:val="FF0000"/>
                <w:sz w:val="12"/>
                <w:szCs w:val="12"/>
              </w:rPr>
              <w:t>Approved</w:t>
            </w:r>
            <w:r w:rsidRPr="00F9470A">
              <w:rPr>
                <w:rFonts w:ascii="Arial" w:hAnsi="Arial" w:cs="Arial"/>
                <w:sz w:val="12"/>
                <w:szCs w:val="12"/>
              </w:rPr>
              <w:t xml:space="preserve">/Estimated Sth Glos Tax Base </w:t>
            </w:r>
          </w:p>
        </w:tc>
        <w:tc>
          <w:tcPr>
            <w:tcW w:w="249" w:type="dxa"/>
            <w:tcBorders>
              <w:top w:val="nil"/>
              <w:left w:val="single" w:sz="4" w:space="0" w:color="auto"/>
              <w:bottom w:val="single" w:sz="12" w:space="0" w:color="auto"/>
              <w:right w:val="single" w:sz="4" w:space="0" w:color="auto"/>
            </w:tcBorders>
            <w:shd w:val="clear" w:color="000000" w:fill="FF0000"/>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 </w:t>
            </w:r>
          </w:p>
        </w:tc>
        <w:tc>
          <w:tcPr>
            <w:tcW w:w="250" w:type="dxa"/>
            <w:gridSpan w:val="2"/>
            <w:tcBorders>
              <w:top w:val="nil"/>
              <w:left w:val="nil"/>
              <w:bottom w:val="single" w:sz="12" w:space="0" w:color="auto"/>
              <w:right w:val="nil"/>
            </w:tcBorders>
            <w:shd w:val="clear" w:color="000000" w:fill="FFFFFF"/>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978" w:type="dxa"/>
            <w:tcBorders>
              <w:top w:val="nil"/>
              <w:left w:val="single" w:sz="4" w:space="0" w:color="auto"/>
              <w:bottom w:val="single" w:sz="12" w:space="0" w:color="auto"/>
              <w:right w:val="single" w:sz="4" w:space="0" w:color="auto"/>
            </w:tcBorders>
            <w:shd w:val="clear" w:color="000000" w:fill="FF0000"/>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6901</w:t>
            </w:r>
          </w:p>
        </w:tc>
        <w:tc>
          <w:tcPr>
            <w:tcW w:w="648" w:type="dxa"/>
            <w:tcBorders>
              <w:top w:val="nil"/>
              <w:left w:val="nil"/>
              <w:bottom w:val="single" w:sz="12" w:space="0" w:color="auto"/>
              <w:right w:val="nil"/>
            </w:tcBorders>
            <w:shd w:val="clear" w:color="000000" w:fill="FFFFFF"/>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1134" w:type="dxa"/>
            <w:gridSpan w:val="2"/>
            <w:tcBorders>
              <w:top w:val="nil"/>
              <w:left w:val="single" w:sz="12" w:space="0" w:color="auto"/>
              <w:bottom w:val="single" w:sz="12" w:space="0" w:color="auto"/>
              <w:right w:val="single" w:sz="4" w:space="0" w:color="auto"/>
            </w:tcBorders>
            <w:shd w:val="clear" w:color="000000" w:fill="FF0000"/>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6875</w:t>
            </w:r>
          </w:p>
        </w:tc>
        <w:tc>
          <w:tcPr>
            <w:tcW w:w="637" w:type="dxa"/>
            <w:tcBorders>
              <w:top w:val="nil"/>
              <w:left w:val="nil"/>
              <w:bottom w:val="single" w:sz="12" w:space="0" w:color="auto"/>
              <w:right w:val="single" w:sz="12" w:space="0" w:color="auto"/>
            </w:tcBorders>
            <w:shd w:val="clear" w:color="000000" w:fill="FFFFFF"/>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1064" w:type="dxa"/>
            <w:gridSpan w:val="2"/>
            <w:tcBorders>
              <w:top w:val="nil"/>
              <w:left w:val="nil"/>
              <w:bottom w:val="single" w:sz="12" w:space="0" w:color="auto"/>
              <w:right w:val="single" w:sz="4" w:space="0" w:color="auto"/>
            </w:tcBorders>
            <w:shd w:val="clear" w:color="000000" w:fill="FF0000"/>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6869</w:t>
            </w:r>
          </w:p>
        </w:tc>
        <w:tc>
          <w:tcPr>
            <w:tcW w:w="709" w:type="dxa"/>
            <w:tcBorders>
              <w:top w:val="nil"/>
              <w:left w:val="nil"/>
              <w:bottom w:val="single" w:sz="12" w:space="0" w:color="auto"/>
              <w:right w:val="nil"/>
            </w:tcBorders>
            <w:shd w:val="clear" w:color="000000" w:fill="FFFFFF"/>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nil"/>
              <w:left w:val="single" w:sz="4" w:space="0" w:color="auto"/>
              <w:bottom w:val="single" w:sz="12" w:space="0" w:color="auto"/>
              <w:right w:val="single" w:sz="4" w:space="0" w:color="auto"/>
            </w:tcBorders>
            <w:shd w:val="clear" w:color="000000" w:fill="CC99FF"/>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7129</w:t>
            </w:r>
          </w:p>
        </w:tc>
        <w:tc>
          <w:tcPr>
            <w:tcW w:w="675" w:type="dxa"/>
            <w:tcBorders>
              <w:top w:val="nil"/>
              <w:left w:val="nil"/>
              <w:bottom w:val="single" w:sz="12" w:space="0" w:color="auto"/>
              <w:right w:val="nil"/>
            </w:tcBorders>
            <w:shd w:val="clear" w:color="000000" w:fill="FFFFFF"/>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nil"/>
              <w:left w:val="single" w:sz="4" w:space="0" w:color="auto"/>
              <w:bottom w:val="single" w:sz="12" w:space="0" w:color="auto"/>
              <w:right w:val="nil"/>
            </w:tcBorders>
            <w:shd w:val="clear" w:color="000000" w:fill="C4D79B"/>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7239</w:t>
            </w:r>
          </w:p>
        </w:tc>
        <w:tc>
          <w:tcPr>
            <w:tcW w:w="676" w:type="dxa"/>
            <w:tcBorders>
              <w:top w:val="single" w:sz="4" w:space="0" w:color="auto"/>
              <w:left w:val="single" w:sz="4" w:space="0" w:color="auto"/>
              <w:bottom w:val="single" w:sz="12" w:space="0" w:color="auto"/>
              <w:right w:val="single" w:sz="4" w:space="0" w:color="auto"/>
            </w:tcBorders>
            <w:shd w:val="clear" w:color="000000" w:fill="FFFFFF"/>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992" w:type="dxa"/>
            <w:gridSpan w:val="2"/>
            <w:tcBorders>
              <w:top w:val="nil"/>
              <w:left w:val="nil"/>
              <w:bottom w:val="single" w:sz="12" w:space="0" w:color="auto"/>
              <w:right w:val="nil"/>
            </w:tcBorders>
            <w:shd w:val="clear" w:color="000000" w:fill="B8CCE4"/>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7364</w:t>
            </w:r>
          </w:p>
        </w:tc>
        <w:tc>
          <w:tcPr>
            <w:tcW w:w="637" w:type="dxa"/>
            <w:tcBorders>
              <w:top w:val="nil"/>
              <w:left w:val="single" w:sz="4" w:space="0" w:color="auto"/>
              <w:bottom w:val="single" w:sz="12" w:space="0" w:color="auto"/>
              <w:right w:val="single" w:sz="4" w:space="0" w:color="auto"/>
            </w:tcBorders>
            <w:shd w:val="clear" w:color="auto" w:fill="auto"/>
            <w:noWrap/>
            <w:vAlign w:val="bottom"/>
            <w:hideMark/>
          </w:tcPr>
          <w:p w:rsidR="00F9470A" w:rsidRPr="00F9470A" w:rsidRDefault="00F9470A">
            <w:pPr>
              <w:rPr>
                <w:rFonts w:ascii="Arial" w:hAnsi="Arial" w:cs="Arial"/>
                <w:b/>
                <w:bCs/>
                <w:color w:val="FF0000"/>
                <w:sz w:val="12"/>
                <w:szCs w:val="12"/>
              </w:rPr>
            </w:pPr>
            <w:r w:rsidRPr="00F9470A">
              <w:rPr>
                <w:rFonts w:ascii="Arial" w:hAnsi="Arial" w:cs="Arial"/>
                <w:b/>
                <w:bCs/>
                <w:color w:val="FF0000"/>
                <w:sz w:val="12"/>
                <w:szCs w:val="12"/>
              </w:rPr>
              <w:t> </w:t>
            </w:r>
          </w:p>
        </w:tc>
        <w:tc>
          <w:tcPr>
            <w:tcW w:w="884" w:type="dxa"/>
            <w:gridSpan w:val="2"/>
            <w:tcBorders>
              <w:top w:val="nil"/>
              <w:left w:val="nil"/>
              <w:bottom w:val="single" w:sz="12" w:space="0" w:color="auto"/>
              <w:right w:val="nil"/>
            </w:tcBorders>
            <w:shd w:val="clear" w:color="000000" w:fill="FFFF99"/>
            <w:noWrap/>
            <w:vAlign w:val="center"/>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7364</w:t>
            </w:r>
          </w:p>
        </w:tc>
        <w:tc>
          <w:tcPr>
            <w:tcW w:w="2195" w:type="dxa"/>
            <w:gridSpan w:val="9"/>
            <w:tcBorders>
              <w:top w:val="single" w:sz="12" w:space="0" w:color="auto"/>
              <w:left w:val="single" w:sz="12" w:space="0" w:color="auto"/>
              <w:bottom w:val="single" w:sz="12" w:space="0" w:color="auto"/>
              <w:right w:val="single" w:sz="12" w:space="0" w:color="000000"/>
            </w:tcBorders>
            <w:shd w:val="clear" w:color="auto" w:fill="auto"/>
            <w:vAlign w:val="bottom"/>
            <w:hideMark/>
          </w:tcPr>
          <w:p w:rsidR="00F9470A" w:rsidRPr="00F9470A" w:rsidRDefault="00F9470A">
            <w:pPr>
              <w:rPr>
                <w:rFonts w:ascii="Arial" w:hAnsi="Arial" w:cs="Arial"/>
                <w:sz w:val="12"/>
                <w:szCs w:val="12"/>
              </w:rPr>
            </w:pPr>
            <w:r w:rsidRPr="00F9470A">
              <w:rPr>
                <w:rFonts w:ascii="Arial" w:hAnsi="Arial" w:cs="Arial"/>
                <w:sz w:val="12"/>
                <w:szCs w:val="12"/>
              </w:rPr>
              <w:t>2018/19 Confirmed tax base 6869 reduced from 7095 + SGC indicative figures to 2021/22 as published 5/12/17</w:t>
            </w:r>
          </w:p>
        </w:tc>
      </w:tr>
      <w:tr w:rsidR="00F9470A" w:rsidTr="006D425F">
        <w:trPr>
          <w:gridAfter w:val="5"/>
          <w:wAfter w:w="661" w:type="dxa"/>
          <w:trHeight w:val="72"/>
        </w:trPr>
        <w:tc>
          <w:tcPr>
            <w:tcW w:w="2408" w:type="dxa"/>
            <w:tcBorders>
              <w:top w:val="nil"/>
              <w:left w:val="nil"/>
              <w:bottom w:val="nil"/>
              <w:right w:val="nil"/>
            </w:tcBorders>
            <w:shd w:val="clear" w:color="000000" w:fill="FFFFFF"/>
            <w:vAlign w:val="bottom"/>
            <w:hideMark/>
          </w:tcPr>
          <w:p w:rsidR="00F9470A" w:rsidRPr="00F9470A" w:rsidRDefault="00F9470A">
            <w:pPr>
              <w:rPr>
                <w:rFonts w:ascii="Arial" w:hAnsi="Arial" w:cs="Arial"/>
                <w:b/>
                <w:bCs/>
                <w:sz w:val="12"/>
                <w:szCs w:val="12"/>
              </w:rPr>
            </w:pPr>
            <w:r w:rsidRPr="00F9470A">
              <w:rPr>
                <w:rFonts w:ascii="Arial" w:hAnsi="Arial" w:cs="Arial"/>
                <w:b/>
                <w:bCs/>
                <w:sz w:val="12"/>
                <w:szCs w:val="12"/>
              </w:rPr>
              <w:t>Approved/Estimated Total Precept Income</w:t>
            </w:r>
          </w:p>
        </w:tc>
        <w:tc>
          <w:tcPr>
            <w:tcW w:w="249" w:type="dxa"/>
            <w:tcBorders>
              <w:top w:val="nil"/>
              <w:left w:val="single" w:sz="4" w:space="0" w:color="auto"/>
              <w:bottom w:val="single" w:sz="4" w:space="0" w:color="auto"/>
              <w:right w:val="single" w:sz="4" w:space="0" w:color="auto"/>
            </w:tcBorders>
            <w:shd w:val="clear" w:color="000000" w:fill="FF00F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 </w:t>
            </w:r>
          </w:p>
        </w:tc>
        <w:tc>
          <w:tcPr>
            <w:tcW w:w="250" w:type="dxa"/>
            <w:gridSpan w:val="2"/>
            <w:tcBorders>
              <w:top w:val="single" w:sz="4" w:space="0" w:color="auto"/>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978" w:type="dxa"/>
            <w:tcBorders>
              <w:top w:val="nil"/>
              <w:left w:val="single" w:sz="4" w:space="0" w:color="auto"/>
              <w:bottom w:val="single" w:sz="4" w:space="0" w:color="auto"/>
              <w:right w:val="single" w:sz="4" w:space="0" w:color="auto"/>
            </w:tcBorders>
            <w:shd w:val="clear" w:color="000000" w:fill="FF00F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£794,996.00</w:t>
            </w:r>
          </w:p>
        </w:tc>
        <w:tc>
          <w:tcPr>
            <w:tcW w:w="648" w:type="dxa"/>
            <w:tcBorders>
              <w:top w:val="single" w:sz="4" w:space="0" w:color="auto"/>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1134" w:type="dxa"/>
            <w:gridSpan w:val="2"/>
            <w:tcBorders>
              <w:top w:val="nil"/>
              <w:left w:val="single" w:sz="12" w:space="0" w:color="auto"/>
              <w:bottom w:val="single" w:sz="4" w:space="0" w:color="auto"/>
              <w:right w:val="single" w:sz="4" w:space="0" w:color="auto"/>
            </w:tcBorders>
            <w:shd w:val="clear" w:color="000000" w:fill="FF00F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£795,988.00</w:t>
            </w:r>
          </w:p>
        </w:tc>
        <w:tc>
          <w:tcPr>
            <w:tcW w:w="637" w:type="dxa"/>
            <w:tcBorders>
              <w:top w:val="single" w:sz="4" w:space="0" w:color="auto"/>
              <w:left w:val="nil"/>
              <w:bottom w:val="nil"/>
              <w:right w:val="single" w:sz="12" w:space="0" w:color="auto"/>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1064" w:type="dxa"/>
            <w:gridSpan w:val="2"/>
            <w:tcBorders>
              <w:top w:val="nil"/>
              <w:left w:val="nil"/>
              <w:bottom w:val="single" w:sz="4" w:space="0" w:color="auto"/>
              <w:right w:val="single" w:sz="4" w:space="0" w:color="auto"/>
            </w:tcBorders>
            <w:shd w:val="clear" w:color="000000" w:fill="FF00F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£795,292.82</w:t>
            </w:r>
          </w:p>
        </w:tc>
        <w:tc>
          <w:tcPr>
            <w:tcW w:w="709" w:type="dxa"/>
            <w:tcBorders>
              <w:top w:val="single" w:sz="4" w:space="0" w:color="auto"/>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nil"/>
              <w:left w:val="single" w:sz="4" w:space="0" w:color="auto"/>
              <w:bottom w:val="single" w:sz="4" w:space="0" w:color="auto"/>
              <w:right w:val="single" w:sz="4" w:space="0" w:color="auto"/>
            </w:tcBorders>
            <w:shd w:val="clear" w:color="000000" w:fill="FF00F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£825,395.62</w:t>
            </w:r>
          </w:p>
        </w:tc>
        <w:tc>
          <w:tcPr>
            <w:tcW w:w="675" w:type="dxa"/>
            <w:tcBorders>
              <w:top w:val="single" w:sz="4" w:space="0" w:color="auto"/>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nil"/>
              <w:left w:val="single" w:sz="4" w:space="0" w:color="auto"/>
              <w:bottom w:val="single" w:sz="4" w:space="0" w:color="auto"/>
              <w:right w:val="single" w:sz="4" w:space="0" w:color="auto"/>
            </w:tcBorders>
            <w:shd w:val="clear" w:color="000000" w:fill="FF00F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£838,131.42</w:t>
            </w:r>
          </w:p>
        </w:tc>
        <w:tc>
          <w:tcPr>
            <w:tcW w:w="676" w:type="dxa"/>
            <w:tcBorders>
              <w:top w:val="nil"/>
              <w:left w:val="nil"/>
              <w:bottom w:val="nil"/>
              <w:right w:val="nil"/>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992" w:type="dxa"/>
            <w:gridSpan w:val="2"/>
            <w:tcBorders>
              <w:top w:val="nil"/>
              <w:left w:val="single" w:sz="4" w:space="0" w:color="auto"/>
              <w:bottom w:val="single" w:sz="4" w:space="0" w:color="auto"/>
              <w:right w:val="single" w:sz="4" w:space="0" w:color="auto"/>
            </w:tcBorders>
            <w:shd w:val="clear" w:color="000000" w:fill="FF00F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£852,603.92</w:t>
            </w:r>
          </w:p>
        </w:tc>
        <w:tc>
          <w:tcPr>
            <w:tcW w:w="637" w:type="dxa"/>
            <w:tcBorders>
              <w:top w:val="nil"/>
              <w:left w:val="nil"/>
              <w:bottom w:val="nil"/>
              <w:right w:val="single" w:sz="12" w:space="0" w:color="auto"/>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nil"/>
              <w:left w:val="single" w:sz="4" w:space="0" w:color="auto"/>
              <w:bottom w:val="single" w:sz="4" w:space="0" w:color="auto"/>
              <w:right w:val="single" w:sz="4" w:space="0" w:color="auto"/>
            </w:tcBorders>
            <w:shd w:val="clear" w:color="000000" w:fill="FF00FF"/>
            <w:noWrap/>
            <w:vAlign w:val="bottom"/>
            <w:hideMark/>
          </w:tcPr>
          <w:p w:rsidR="00F9470A" w:rsidRPr="00F9470A" w:rsidRDefault="00F9470A">
            <w:pPr>
              <w:jc w:val="center"/>
              <w:rPr>
                <w:rFonts w:ascii="Arial" w:hAnsi="Arial" w:cs="Arial"/>
                <w:b/>
                <w:bCs/>
                <w:sz w:val="12"/>
                <w:szCs w:val="12"/>
              </w:rPr>
            </w:pPr>
            <w:r w:rsidRPr="00F9470A">
              <w:rPr>
                <w:rFonts w:ascii="Arial" w:hAnsi="Arial" w:cs="Arial"/>
                <w:b/>
                <w:bCs/>
                <w:sz w:val="12"/>
                <w:szCs w:val="12"/>
              </w:rPr>
              <w:t>£852,603.92</w:t>
            </w:r>
          </w:p>
        </w:tc>
        <w:tc>
          <w:tcPr>
            <w:tcW w:w="747" w:type="dxa"/>
            <w:tcBorders>
              <w:top w:val="nil"/>
              <w:left w:val="nil"/>
              <w:bottom w:val="nil"/>
              <w:right w:val="single" w:sz="12" w:space="0" w:color="auto"/>
            </w:tcBorders>
            <w:shd w:val="clear" w:color="000000" w:fill="FFFFFF"/>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6D425F">
        <w:trPr>
          <w:gridAfter w:val="5"/>
          <w:wAfter w:w="661" w:type="dxa"/>
          <w:trHeight w:val="144"/>
        </w:trPr>
        <w:tc>
          <w:tcPr>
            <w:tcW w:w="2408" w:type="dxa"/>
            <w:tcBorders>
              <w:top w:val="nil"/>
              <w:left w:val="nil"/>
              <w:bottom w:val="nil"/>
              <w:right w:val="single" w:sz="4" w:space="0" w:color="auto"/>
            </w:tcBorders>
            <w:shd w:val="clear" w:color="auto" w:fill="auto"/>
            <w:vAlign w:val="center"/>
            <w:hideMark/>
          </w:tcPr>
          <w:p w:rsidR="00F9470A" w:rsidRPr="00F9470A" w:rsidRDefault="00F9470A">
            <w:pPr>
              <w:rPr>
                <w:rFonts w:ascii="Arial" w:hAnsi="Arial" w:cs="Arial"/>
                <w:sz w:val="12"/>
                <w:szCs w:val="12"/>
              </w:rPr>
            </w:pPr>
            <w:r w:rsidRPr="00F9470A">
              <w:rPr>
                <w:rFonts w:ascii="Arial" w:hAnsi="Arial" w:cs="Arial"/>
                <w:sz w:val="12"/>
                <w:szCs w:val="12"/>
              </w:rPr>
              <w:t>Approved/Projected Total Precept and Local Tax Grant Funding</w:t>
            </w:r>
          </w:p>
        </w:tc>
        <w:tc>
          <w:tcPr>
            <w:tcW w:w="249" w:type="dxa"/>
            <w:tcBorders>
              <w:top w:val="nil"/>
              <w:left w:val="single" w:sz="4" w:space="0" w:color="auto"/>
              <w:bottom w:val="nil"/>
              <w:right w:val="single" w:sz="4" w:space="0" w:color="auto"/>
            </w:tcBorders>
            <w:shd w:val="clear" w:color="000000" w:fill="FFFF99"/>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250" w:type="dxa"/>
            <w:gridSpan w:val="2"/>
            <w:tcBorders>
              <w:top w:val="nil"/>
              <w:left w:val="nil"/>
              <w:bottom w:val="nil"/>
              <w:right w:val="nil"/>
            </w:tcBorders>
            <w:shd w:val="clear" w:color="auto" w:fill="auto"/>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978" w:type="dxa"/>
            <w:tcBorders>
              <w:top w:val="nil"/>
              <w:left w:val="single" w:sz="4" w:space="0" w:color="auto"/>
              <w:bottom w:val="nil"/>
              <w:right w:val="single" w:sz="4" w:space="0" w:color="auto"/>
            </w:tcBorders>
            <w:shd w:val="clear" w:color="000000" w:fill="FF99CC"/>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£814,069.00</w:t>
            </w:r>
          </w:p>
        </w:tc>
        <w:tc>
          <w:tcPr>
            <w:tcW w:w="648" w:type="dxa"/>
            <w:tcBorders>
              <w:top w:val="nil"/>
              <w:left w:val="nil"/>
              <w:bottom w:val="nil"/>
              <w:right w:val="nil"/>
            </w:tcBorders>
            <w:shd w:val="clear" w:color="auto" w:fill="auto"/>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1134" w:type="dxa"/>
            <w:gridSpan w:val="2"/>
            <w:tcBorders>
              <w:top w:val="nil"/>
              <w:left w:val="single" w:sz="12" w:space="0" w:color="auto"/>
              <w:bottom w:val="nil"/>
              <w:right w:val="single" w:sz="4" w:space="0" w:color="auto"/>
            </w:tcBorders>
            <w:shd w:val="clear" w:color="000000" w:fill="FABF8F"/>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£807,118.00</w:t>
            </w:r>
          </w:p>
        </w:tc>
        <w:tc>
          <w:tcPr>
            <w:tcW w:w="637" w:type="dxa"/>
            <w:tcBorders>
              <w:top w:val="nil"/>
              <w:left w:val="nil"/>
              <w:bottom w:val="nil"/>
              <w:right w:val="single" w:sz="12" w:space="0" w:color="auto"/>
            </w:tcBorders>
            <w:shd w:val="clear" w:color="auto" w:fill="auto"/>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1064" w:type="dxa"/>
            <w:gridSpan w:val="2"/>
            <w:tcBorders>
              <w:top w:val="nil"/>
              <w:left w:val="nil"/>
              <w:bottom w:val="nil"/>
              <w:right w:val="single" w:sz="4" w:space="0" w:color="auto"/>
            </w:tcBorders>
            <w:shd w:val="clear" w:color="000000" w:fill="FFFF00"/>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£801,891.82</w:t>
            </w:r>
          </w:p>
        </w:tc>
        <w:tc>
          <w:tcPr>
            <w:tcW w:w="709" w:type="dxa"/>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nil"/>
              <w:left w:val="single" w:sz="4" w:space="0" w:color="auto"/>
              <w:bottom w:val="nil"/>
              <w:right w:val="single" w:sz="4" w:space="0" w:color="auto"/>
            </w:tcBorders>
            <w:shd w:val="clear" w:color="000000" w:fill="CC99FF"/>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£825,395.62</w:t>
            </w:r>
          </w:p>
        </w:tc>
        <w:tc>
          <w:tcPr>
            <w:tcW w:w="675" w:type="dxa"/>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nil"/>
              <w:left w:val="single" w:sz="4" w:space="0" w:color="auto"/>
              <w:bottom w:val="nil"/>
              <w:right w:val="single" w:sz="4" w:space="0" w:color="auto"/>
            </w:tcBorders>
            <w:shd w:val="clear" w:color="000000" w:fill="C4D79B"/>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£838,131.42</w:t>
            </w:r>
          </w:p>
        </w:tc>
        <w:tc>
          <w:tcPr>
            <w:tcW w:w="676" w:type="dxa"/>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992" w:type="dxa"/>
            <w:gridSpan w:val="2"/>
            <w:tcBorders>
              <w:top w:val="nil"/>
              <w:left w:val="single" w:sz="4" w:space="0" w:color="auto"/>
              <w:bottom w:val="nil"/>
              <w:right w:val="single" w:sz="4" w:space="0" w:color="auto"/>
            </w:tcBorders>
            <w:shd w:val="clear" w:color="000000" w:fill="B8CCE4"/>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£852,603.92</w:t>
            </w:r>
          </w:p>
        </w:tc>
        <w:tc>
          <w:tcPr>
            <w:tcW w:w="637" w:type="dxa"/>
            <w:tcBorders>
              <w:top w:val="nil"/>
              <w:left w:val="nil"/>
              <w:bottom w:val="nil"/>
              <w:right w:val="single" w:sz="12" w:space="0" w:color="auto"/>
            </w:tcBorders>
            <w:shd w:val="clear" w:color="auto" w:fill="auto"/>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nil"/>
              <w:left w:val="single" w:sz="4" w:space="0" w:color="auto"/>
              <w:bottom w:val="nil"/>
              <w:right w:val="single" w:sz="4" w:space="0" w:color="auto"/>
            </w:tcBorders>
            <w:shd w:val="clear" w:color="000000" w:fill="B8CCE4"/>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£852,603.92</w:t>
            </w:r>
          </w:p>
        </w:tc>
        <w:tc>
          <w:tcPr>
            <w:tcW w:w="747" w:type="dxa"/>
            <w:tcBorders>
              <w:top w:val="nil"/>
              <w:left w:val="nil"/>
              <w:bottom w:val="nil"/>
              <w:right w:val="single" w:sz="12" w:space="0" w:color="auto"/>
            </w:tcBorders>
            <w:shd w:val="clear" w:color="auto" w:fill="auto"/>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6D425F">
        <w:trPr>
          <w:gridAfter w:val="5"/>
          <w:wAfter w:w="661" w:type="dxa"/>
          <w:trHeight w:val="119"/>
        </w:trPr>
        <w:tc>
          <w:tcPr>
            <w:tcW w:w="2408" w:type="dxa"/>
            <w:tcBorders>
              <w:top w:val="single" w:sz="12" w:space="0" w:color="auto"/>
              <w:left w:val="single" w:sz="12" w:space="0" w:color="auto"/>
              <w:bottom w:val="single" w:sz="12" w:space="0" w:color="auto"/>
              <w:right w:val="nil"/>
            </w:tcBorders>
            <w:shd w:val="clear" w:color="auto" w:fill="auto"/>
            <w:vAlign w:val="bottom"/>
            <w:hideMark/>
          </w:tcPr>
          <w:p w:rsidR="00F9470A" w:rsidRPr="00F9470A" w:rsidRDefault="00F9470A">
            <w:pPr>
              <w:rPr>
                <w:rFonts w:ascii="Arial" w:hAnsi="Arial" w:cs="Arial"/>
                <w:b/>
                <w:bCs/>
                <w:sz w:val="12"/>
                <w:szCs w:val="12"/>
              </w:rPr>
            </w:pPr>
            <w:r w:rsidRPr="00F9470A">
              <w:rPr>
                <w:rFonts w:ascii="Arial" w:hAnsi="Arial" w:cs="Arial"/>
                <w:b/>
                <w:bCs/>
                <w:sz w:val="12"/>
                <w:szCs w:val="12"/>
              </w:rPr>
              <w:t>Projected year end position to C/FWD (excluding shortfall funding from year end reserves)</w:t>
            </w:r>
          </w:p>
        </w:tc>
        <w:tc>
          <w:tcPr>
            <w:tcW w:w="249"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 </w:t>
            </w:r>
          </w:p>
        </w:tc>
        <w:tc>
          <w:tcPr>
            <w:tcW w:w="250" w:type="dxa"/>
            <w:gridSpan w:val="2"/>
            <w:tcBorders>
              <w:top w:val="single" w:sz="12" w:space="0" w:color="auto"/>
              <w:left w:val="nil"/>
              <w:bottom w:val="single" w:sz="12" w:space="0" w:color="auto"/>
              <w:right w:val="nil"/>
            </w:tcBorders>
            <w:shd w:val="clear" w:color="auto" w:fill="auto"/>
            <w:noWrap/>
            <w:vAlign w:val="center"/>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978" w:type="dxa"/>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£60,256.66</w:t>
            </w:r>
          </w:p>
        </w:tc>
        <w:tc>
          <w:tcPr>
            <w:tcW w:w="648" w:type="dxa"/>
            <w:tcBorders>
              <w:top w:val="single" w:sz="12" w:space="0" w:color="auto"/>
              <w:left w:val="nil"/>
              <w:bottom w:val="single" w:sz="12" w:space="0" w:color="auto"/>
              <w:right w:val="nil"/>
            </w:tcBorders>
            <w:shd w:val="clear" w:color="auto" w:fill="auto"/>
            <w:noWrap/>
            <w:vAlign w:val="center"/>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1134" w:type="dxa"/>
            <w:gridSpan w:val="2"/>
            <w:tcBorders>
              <w:top w:val="single" w:sz="12" w:space="0" w:color="auto"/>
              <w:left w:val="single" w:sz="12" w:space="0" w:color="auto"/>
              <w:bottom w:val="single" w:sz="12" w:space="0" w:color="auto"/>
              <w:right w:val="single" w:sz="4" w:space="0" w:color="auto"/>
            </w:tcBorders>
            <w:shd w:val="clear" w:color="000000" w:fill="C0C0C0"/>
            <w:noWrap/>
            <w:vAlign w:val="center"/>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£65,194.00</w:t>
            </w:r>
          </w:p>
        </w:tc>
        <w:tc>
          <w:tcPr>
            <w:tcW w:w="637" w:type="dxa"/>
            <w:tcBorders>
              <w:top w:val="single" w:sz="12" w:space="0" w:color="auto"/>
              <w:left w:val="nil"/>
              <w:bottom w:val="single" w:sz="12" w:space="0" w:color="auto"/>
              <w:right w:val="single" w:sz="12" w:space="0" w:color="auto"/>
            </w:tcBorders>
            <w:shd w:val="clear" w:color="auto" w:fill="auto"/>
            <w:noWrap/>
            <w:vAlign w:val="center"/>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1064" w:type="dxa"/>
            <w:gridSpan w:val="2"/>
            <w:tcBorders>
              <w:top w:val="single" w:sz="12" w:space="0" w:color="auto"/>
              <w:left w:val="nil"/>
              <w:bottom w:val="single" w:sz="12" w:space="0" w:color="auto"/>
              <w:right w:val="single" w:sz="4" w:space="0" w:color="auto"/>
            </w:tcBorders>
            <w:shd w:val="clear" w:color="000000" w:fill="C0C0C0"/>
            <w:noWrap/>
            <w:vAlign w:val="center"/>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£59,708.83</w:t>
            </w:r>
          </w:p>
        </w:tc>
        <w:tc>
          <w:tcPr>
            <w:tcW w:w="709" w:type="dxa"/>
            <w:tcBorders>
              <w:top w:val="single" w:sz="12" w:space="0" w:color="auto"/>
              <w:left w:val="nil"/>
              <w:bottom w:val="single" w:sz="12" w:space="0" w:color="auto"/>
              <w:right w:val="nil"/>
            </w:tcBorders>
            <w:shd w:val="clear" w:color="auto" w:fill="auto"/>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£57,413.63</w:t>
            </w:r>
          </w:p>
        </w:tc>
        <w:tc>
          <w:tcPr>
            <w:tcW w:w="675" w:type="dxa"/>
            <w:tcBorders>
              <w:top w:val="single" w:sz="12" w:space="0" w:color="auto"/>
              <w:left w:val="nil"/>
              <w:bottom w:val="single" w:sz="12" w:space="0" w:color="auto"/>
              <w:right w:val="nil"/>
            </w:tcBorders>
            <w:shd w:val="clear" w:color="auto" w:fill="auto"/>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£58,306.00</w:t>
            </w:r>
          </w:p>
        </w:tc>
        <w:tc>
          <w:tcPr>
            <w:tcW w:w="676" w:type="dxa"/>
            <w:tcBorders>
              <w:top w:val="single" w:sz="12" w:space="0" w:color="auto"/>
              <w:left w:val="nil"/>
              <w:bottom w:val="single" w:sz="12" w:space="0" w:color="auto"/>
              <w:right w:val="nil"/>
            </w:tcBorders>
            <w:shd w:val="clear" w:color="auto" w:fill="auto"/>
            <w:noWrap/>
            <w:vAlign w:val="bottom"/>
            <w:hideMark/>
          </w:tcPr>
          <w:p w:rsidR="00F9470A" w:rsidRPr="00F9470A" w:rsidRDefault="00F9470A">
            <w:pPr>
              <w:jc w:val="center"/>
              <w:rPr>
                <w:rFonts w:ascii="Arial" w:hAnsi="Arial" w:cs="Arial"/>
                <w:sz w:val="12"/>
                <w:szCs w:val="12"/>
              </w:rPr>
            </w:pPr>
            <w:r w:rsidRPr="00F9470A">
              <w:rPr>
                <w:rFonts w:ascii="Arial" w:hAnsi="Arial" w:cs="Arial"/>
                <w:sz w:val="12"/>
                <w:szCs w:val="12"/>
              </w:rPr>
              <w:t> </w:t>
            </w:r>
          </w:p>
        </w:tc>
        <w:tc>
          <w:tcPr>
            <w:tcW w:w="992" w:type="dxa"/>
            <w:gridSpan w:val="2"/>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£55,821.13</w:t>
            </w:r>
          </w:p>
        </w:tc>
        <w:tc>
          <w:tcPr>
            <w:tcW w:w="637" w:type="dxa"/>
            <w:tcBorders>
              <w:top w:val="single" w:sz="12" w:space="0" w:color="auto"/>
              <w:left w:val="nil"/>
              <w:bottom w:val="single" w:sz="12" w:space="0" w:color="auto"/>
              <w:right w:val="single" w:sz="12" w:space="0" w:color="auto"/>
            </w:tcBorders>
            <w:shd w:val="clear" w:color="auto" w:fill="auto"/>
            <w:noWrap/>
            <w:vAlign w:val="center"/>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884" w:type="dxa"/>
            <w:gridSpan w:val="2"/>
            <w:tcBorders>
              <w:top w:val="single" w:sz="12" w:space="0" w:color="auto"/>
              <w:left w:val="single" w:sz="4" w:space="0" w:color="auto"/>
              <w:bottom w:val="single" w:sz="12" w:space="0" w:color="auto"/>
              <w:right w:val="single" w:sz="4" w:space="0" w:color="auto"/>
            </w:tcBorders>
            <w:shd w:val="clear" w:color="000000" w:fill="C0C0C0"/>
            <w:noWrap/>
            <w:vAlign w:val="center"/>
            <w:hideMark/>
          </w:tcPr>
          <w:p w:rsidR="00F9470A" w:rsidRPr="00F9470A" w:rsidRDefault="00F9470A">
            <w:pPr>
              <w:jc w:val="center"/>
              <w:rPr>
                <w:rFonts w:ascii="Arial" w:hAnsi="Arial" w:cs="Arial"/>
                <w:b/>
                <w:bCs/>
                <w:color w:val="000000"/>
                <w:sz w:val="12"/>
                <w:szCs w:val="12"/>
              </w:rPr>
            </w:pPr>
            <w:r w:rsidRPr="00F9470A">
              <w:rPr>
                <w:rFonts w:ascii="Arial" w:hAnsi="Arial" w:cs="Arial"/>
                <w:b/>
                <w:bCs/>
                <w:color w:val="000000"/>
                <w:sz w:val="12"/>
                <w:szCs w:val="12"/>
              </w:rPr>
              <w:t>£3,820.72</w:t>
            </w:r>
          </w:p>
        </w:tc>
        <w:tc>
          <w:tcPr>
            <w:tcW w:w="747" w:type="dxa"/>
            <w:tcBorders>
              <w:top w:val="single" w:sz="12" w:space="0" w:color="auto"/>
              <w:left w:val="nil"/>
              <w:bottom w:val="single" w:sz="12" w:space="0" w:color="auto"/>
              <w:right w:val="single" w:sz="12" w:space="0" w:color="auto"/>
            </w:tcBorders>
            <w:shd w:val="clear" w:color="auto" w:fill="auto"/>
            <w:noWrap/>
            <w:vAlign w:val="center"/>
            <w:hideMark/>
          </w:tcPr>
          <w:p w:rsidR="00F9470A" w:rsidRPr="00F9470A" w:rsidRDefault="00F9470A">
            <w:pPr>
              <w:jc w:val="center"/>
              <w:rPr>
                <w:rFonts w:ascii="Arial" w:hAnsi="Arial" w:cs="Arial"/>
                <w:color w:val="000000"/>
                <w:sz w:val="12"/>
                <w:szCs w:val="12"/>
              </w:rPr>
            </w:pPr>
            <w:r w:rsidRPr="00F9470A">
              <w:rPr>
                <w:rFonts w:ascii="Arial" w:hAnsi="Arial" w:cs="Arial"/>
                <w:color w:val="000000"/>
                <w:sz w:val="12"/>
                <w:szCs w:val="12"/>
              </w:rPr>
              <w:t> </w:t>
            </w:r>
          </w:p>
        </w:tc>
        <w:tc>
          <w:tcPr>
            <w:tcW w:w="980" w:type="dxa"/>
            <w:gridSpan w:val="5"/>
            <w:tcBorders>
              <w:top w:val="nil"/>
              <w:left w:val="nil"/>
              <w:bottom w:val="nil"/>
              <w:right w:val="nil"/>
            </w:tcBorders>
            <w:shd w:val="clear" w:color="auto" w:fill="auto"/>
            <w:noWrap/>
            <w:vAlign w:val="bottom"/>
            <w:hideMark/>
          </w:tcPr>
          <w:p w:rsidR="00F9470A" w:rsidRPr="00F9470A" w:rsidRDefault="00F9470A">
            <w:pPr>
              <w:jc w:val="center"/>
              <w:rPr>
                <w:rFonts w:ascii="Arial" w:hAnsi="Arial" w:cs="Arial"/>
                <w:color w:val="000000"/>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RPr="00AC7651" w:rsidTr="00AC7651">
        <w:trPr>
          <w:trHeight w:val="205"/>
        </w:trPr>
        <w:tc>
          <w:tcPr>
            <w:tcW w:w="2408" w:type="dxa"/>
            <w:tcBorders>
              <w:top w:val="nil"/>
              <w:left w:val="nil"/>
              <w:bottom w:val="nil"/>
              <w:right w:val="nil"/>
            </w:tcBorders>
            <w:shd w:val="clear" w:color="auto" w:fill="auto"/>
            <w:noWrap/>
            <w:vAlign w:val="bottom"/>
            <w:hideMark/>
          </w:tcPr>
          <w:p w:rsidR="00F9470A" w:rsidRPr="00AC7651" w:rsidRDefault="00F9470A">
            <w:pPr>
              <w:rPr>
                <w:sz w:val="8"/>
                <w:szCs w:val="8"/>
              </w:rPr>
            </w:pPr>
          </w:p>
        </w:tc>
        <w:tc>
          <w:tcPr>
            <w:tcW w:w="349" w:type="dxa"/>
            <w:gridSpan w:val="2"/>
            <w:tcBorders>
              <w:top w:val="nil"/>
              <w:left w:val="single" w:sz="4" w:space="0" w:color="auto"/>
              <w:bottom w:val="single" w:sz="4" w:space="0" w:color="auto"/>
              <w:right w:val="nil"/>
            </w:tcBorders>
            <w:shd w:val="clear" w:color="000000" w:fill="FFFF99"/>
            <w:vAlign w:val="center"/>
          </w:tcPr>
          <w:p w:rsidR="00F9470A" w:rsidRPr="00AC7651" w:rsidRDefault="00F9470A">
            <w:pPr>
              <w:jc w:val="center"/>
              <w:rPr>
                <w:rFonts w:ascii="Arial" w:hAnsi="Arial" w:cs="Arial"/>
                <w:sz w:val="8"/>
                <w:szCs w:val="8"/>
              </w:rPr>
            </w:pPr>
          </w:p>
        </w:tc>
        <w:tc>
          <w:tcPr>
            <w:tcW w:w="2098" w:type="dxa"/>
            <w:gridSpan w:val="4"/>
            <w:tcBorders>
              <w:top w:val="nil"/>
              <w:left w:val="single" w:sz="4" w:space="0" w:color="auto"/>
              <w:bottom w:val="single" w:sz="4" w:space="0" w:color="auto"/>
              <w:right w:val="nil"/>
            </w:tcBorders>
            <w:shd w:val="clear" w:color="000000" w:fill="FF99CC"/>
            <w:vAlign w:val="center"/>
            <w:hideMark/>
          </w:tcPr>
          <w:p w:rsidR="00F9470A" w:rsidRPr="00AC7651" w:rsidRDefault="00F9470A">
            <w:pPr>
              <w:jc w:val="center"/>
              <w:rPr>
                <w:rFonts w:ascii="Arial" w:hAnsi="Arial" w:cs="Arial"/>
                <w:sz w:val="8"/>
                <w:szCs w:val="8"/>
              </w:rPr>
            </w:pPr>
            <w:r w:rsidRPr="00AC7651">
              <w:rPr>
                <w:rFonts w:ascii="Arial" w:hAnsi="Arial" w:cs="Arial"/>
                <w:sz w:val="8"/>
                <w:szCs w:val="8"/>
              </w:rPr>
              <w:t xml:space="preserve">The tax base and LCTR figures are based upon approved figures provided by Sth Glos in January 2016. The precept was approved by Council in November 2015 with final approval in January 2016. </w:t>
            </w:r>
          </w:p>
        </w:tc>
        <w:tc>
          <w:tcPr>
            <w:tcW w:w="1982" w:type="dxa"/>
            <w:gridSpan w:val="3"/>
            <w:tcBorders>
              <w:top w:val="single" w:sz="12" w:space="0" w:color="auto"/>
              <w:left w:val="single" w:sz="12" w:space="0" w:color="auto"/>
              <w:bottom w:val="single" w:sz="12" w:space="0" w:color="auto"/>
              <w:right w:val="single" w:sz="12" w:space="0" w:color="000000"/>
            </w:tcBorders>
            <w:shd w:val="clear" w:color="000000" w:fill="FABF8F"/>
            <w:vAlign w:val="center"/>
            <w:hideMark/>
          </w:tcPr>
          <w:p w:rsidR="00F9470A" w:rsidRPr="00AC7651" w:rsidRDefault="00F9470A">
            <w:pPr>
              <w:jc w:val="center"/>
              <w:rPr>
                <w:rFonts w:ascii="Arial" w:hAnsi="Arial" w:cs="Arial"/>
                <w:sz w:val="8"/>
                <w:szCs w:val="8"/>
              </w:rPr>
            </w:pPr>
            <w:r w:rsidRPr="00AC7651">
              <w:rPr>
                <w:rFonts w:ascii="Arial" w:hAnsi="Arial" w:cs="Arial"/>
                <w:sz w:val="8"/>
                <w:szCs w:val="8"/>
              </w:rPr>
              <w:t xml:space="preserve">The tax base and LCTR figures are based upon approved figures provided by Sth Glos in Dec 16. The final precept was approved by Council January 2017 with a 0.5% increase (equivalent to 58p per band D property p/a). </w:t>
            </w:r>
          </w:p>
        </w:tc>
        <w:tc>
          <w:tcPr>
            <w:tcW w:w="1475" w:type="dxa"/>
            <w:gridSpan w:val="3"/>
            <w:tcBorders>
              <w:top w:val="nil"/>
              <w:left w:val="nil"/>
              <w:bottom w:val="single" w:sz="4" w:space="0" w:color="auto"/>
              <w:right w:val="single" w:sz="4" w:space="0" w:color="000000"/>
            </w:tcBorders>
            <w:shd w:val="clear" w:color="000000" w:fill="FFFF00"/>
            <w:vAlign w:val="center"/>
            <w:hideMark/>
          </w:tcPr>
          <w:p w:rsidR="00F9470A" w:rsidRPr="00AC7651" w:rsidRDefault="00F9470A">
            <w:pPr>
              <w:jc w:val="center"/>
              <w:rPr>
                <w:rFonts w:ascii="Arial" w:hAnsi="Arial" w:cs="Arial"/>
                <w:sz w:val="8"/>
                <w:szCs w:val="8"/>
              </w:rPr>
            </w:pPr>
            <w:r w:rsidRPr="00AC7651">
              <w:rPr>
                <w:rFonts w:ascii="Arial" w:hAnsi="Arial" w:cs="Arial"/>
                <w:sz w:val="8"/>
                <w:szCs w:val="8"/>
              </w:rPr>
              <w:t>The tax base figure is based upon approved figures from Sth Glos in Dec 2017. The LCTR figure is still to be approved by Sth Glos. The final precept was approved by council January 2018 with a 0% increase.</w:t>
            </w:r>
          </w:p>
        </w:tc>
        <w:tc>
          <w:tcPr>
            <w:tcW w:w="1592" w:type="dxa"/>
            <w:gridSpan w:val="3"/>
            <w:tcBorders>
              <w:top w:val="nil"/>
              <w:left w:val="nil"/>
              <w:bottom w:val="single" w:sz="4" w:space="0" w:color="auto"/>
              <w:right w:val="single" w:sz="4" w:space="0" w:color="000000"/>
            </w:tcBorders>
            <w:shd w:val="clear" w:color="000000" w:fill="CC99FF"/>
            <w:vAlign w:val="center"/>
            <w:hideMark/>
          </w:tcPr>
          <w:p w:rsidR="00F9470A" w:rsidRPr="00AC7651" w:rsidRDefault="00F9470A">
            <w:pPr>
              <w:jc w:val="center"/>
              <w:rPr>
                <w:rFonts w:ascii="Arial" w:hAnsi="Arial" w:cs="Arial"/>
                <w:sz w:val="8"/>
                <w:szCs w:val="8"/>
              </w:rPr>
            </w:pPr>
            <w:r w:rsidRPr="00AC7651">
              <w:rPr>
                <w:rFonts w:ascii="Arial" w:hAnsi="Arial" w:cs="Arial"/>
                <w:sz w:val="8"/>
                <w:szCs w:val="8"/>
              </w:rPr>
              <w:t>This projection assumes a 0% precept increase for 2019/20 and + a Sth Glos projected tax base and projected reduced LCTR for 2019/20- These assumptions will be considered by SGC &amp; BSTC in January 2019 when finalised figures are available</w:t>
            </w:r>
          </w:p>
        </w:tc>
        <w:tc>
          <w:tcPr>
            <w:tcW w:w="1583" w:type="dxa"/>
            <w:gridSpan w:val="3"/>
            <w:tcBorders>
              <w:top w:val="nil"/>
              <w:left w:val="nil"/>
              <w:bottom w:val="single" w:sz="4" w:space="0" w:color="auto"/>
              <w:right w:val="single" w:sz="4" w:space="0" w:color="000000"/>
            </w:tcBorders>
            <w:shd w:val="clear" w:color="000000" w:fill="EBF1DE"/>
            <w:vAlign w:val="center"/>
            <w:hideMark/>
          </w:tcPr>
          <w:p w:rsidR="00F9470A" w:rsidRPr="00AC7651" w:rsidRDefault="00F9470A">
            <w:pPr>
              <w:jc w:val="center"/>
              <w:rPr>
                <w:rFonts w:ascii="Arial" w:hAnsi="Arial" w:cs="Arial"/>
                <w:sz w:val="8"/>
                <w:szCs w:val="8"/>
              </w:rPr>
            </w:pPr>
            <w:r w:rsidRPr="00AC7651">
              <w:rPr>
                <w:rFonts w:ascii="Arial" w:hAnsi="Arial" w:cs="Arial"/>
                <w:sz w:val="8"/>
                <w:szCs w:val="8"/>
              </w:rPr>
              <w:t>This projection assumes a 0% precept increase for 2020/21 and  + Sth Glos projected tax base for 2020/21 + SGC projection of a £0 LCTR - These assumptions will be considered by Council in January 2020 when finalised figures are available</w:t>
            </w:r>
          </w:p>
        </w:tc>
        <w:tc>
          <w:tcPr>
            <w:tcW w:w="1730" w:type="dxa"/>
            <w:gridSpan w:val="3"/>
            <w:tcBorders>
              <w:top w:val="nil"/>
              <w:left w:val="nil"/>
              <w:bottom w:val="single" w:sz="4" w:space="0" w:color="auto"/>
              <w:right w:val="single" w:sz="4" w:space="0" w:color="000000"/>
            </w:tcBorders>
            <w:shd w:val="clear" w:color="000000" w:fill="B8CCE4"/>
            <w:vAlign w:val="center"/>
            <w:hideMark/>
          </w:tcPr>
          <w:p w:rsidR="00F9470A" w:rsidRPr="00AC7651" w:rsidRDefault="00F9470A">
            <w:pPr>
              <w:jc w:val="center"/>
              <w:rPr>
                <w:rFonts w:ascii="Arial" w:hAnsi="Arial" w:cs="Arial"/>
                <w:sz w:val="8"/>
                <w:szCs w:val="8"/>
              </w:rPr>
            </w:pPr>
            <w:r w:rsidRPr="00AC7651">
              <w:rPr>
                <w:rFonts w:ascii="Arial" w:hAnsi="Arial" w:cs="Arial"/>
                <w:sz w:val="8"/>
                <w:szCs w:val="8"/>
              </w:rPr>
              <w:t>This projection assumes a 0% precept increase for 2021/22 and  + Sth Glos projected tax base for 2020/21 c/fwd + SGC projected £0 LCTR - These assumptions will be considered by Council in January 2021 when finalised figures are available</w:t>
            </w:r>
          </w:p>
        </w:tc>
        <w:tc>
          <w:tcPr>
            <w:tcW w:w="1547" w:type="dxa"/>
            <w:gridSpan w:val="4"/>
            <w:tcBorders>
              <w:top w:val="nil"/>
              <w:left w:val="nil"/>
              <w:bottom w:val="single" w:sz="4" w:space="0" w:color="auto"/>
              <w:right w:val="single" w:sz="4" w:space="0" w:color="000000"/>
            </w:tcBorders>
            <w:shd w:val="clear" w:color="000000" w:fill="FFFF99"/>
            <w:vAlign w:val="center"/>
            <w:hideMark/>
          </w:tcPr>
          <w:p w:rsidR="00F9470A" w:rsidRPr="00AC7651" w:rsidRDefault="00F9470A">
            <w:pPr>
              <w:jc w:val="center"/>
              <w:rPr>
                <w:rFonts w:ascii="Arial" w:hAnsi="Arial" w:cs="Arial"/>
                <w:sz w:val="8"/>
                <w:szCs w:val="8"/>
              </w:rPr>
            </w:pPr>
            <w:r w:rsidRPr="00AC7651">
              <w:rPr>
                <w:rFonts w:ascii="Arial" w:hAnsi="Arial" w:cs="Arial"/>
                <w:sz w:val="8"/>
                <w:szCs w:val="8"/>
              </w:rPr>
              <w:t>This projection assumes a 0% precept increase for 2022/23 and  + Sth Glos projected tax base for 2020/21 c/fwd + SGC projected £0 LCTR - These assumptions will be considered by Council in January 2022 when finalised figures are available</w:t>
            </w:r>
          </w:p>
        </w:tc>
        <w:tc>
          <w:tcPr>
            <w:tcW w:w="589" w:type="dxa"/>
            <w:gridSpan w:val="2"/>
            <w:tcBorders>
              <w:top w:val="nil"/>
              <w:left w:val="nil"/>
              <w:bottom w:val="nil"/>
              <w:right w:val="nil"/>
            </w:tcBorders>
            <w:shd w:val="clear" w:color="auto" w:fill="auto"/>
            <w:noWrap/>
            <w:vAlign w:val="bottom"/>
            <w:hideMark/>
          </w:tcPr>
          <w:p w:rsidR="00F9470A" w:rsidRPr="00AC7651" w:rsidRDefault="00F9470A">
            <w:pPr>
              <w:jc w:val="center"/>
              <w:rPr>
                <w:rFonts w:ascii="Arial" w:hAnsi="Arial" w:cs="Arial"/>
                <w:sz w:val="8"/>
                <w:szCs w:val="8"/>
              </w:rPr>
            </w:pPr>
          </w:p>
        </w:tc>
        <w:tc>
          <w:tcPr>
            <w:tcW w:w="980" w:type="dxa"/>
            <w:gridSpan w:val="7"/>
            <w:tcBorders>
              <w:top w:val="nil"/>
              <w:left w:val="nil"/>
              <w:bottom w:val="nil"/>
              <w:right w:val="nil"/>
            </w:tcBorders>
            <w:shd w:val="clear" w:color="auto" w:fill="auto"/>
            <w:noWrap/>
            <w:vAlign w:val="bottom"/>
            <w:hideMark/>
          </w:tcPr>
          <w:p w:rsidR="00F9470A" w:rsidRPr="00AC7651" w:rsidRDefault="00F9470A">
            <w:pPr>
              <w:rPr>
                <w:sz w:val="8"/>
                <w:szCs w:val="8"/>
              </w:rPr>
            </w:pPr>
          </w:p>
        </w:tc>
        <w:tc>
          <w:tcPr>
            <w:tcW w:w="236" w:type="dxa"/>
            <w:gridSpan w:val="2"/>
            <w:tcBorders>
              <w:top w:val="nil"/>
              <w:left w:val="nil"/>
              <w:bottom w:val="nil"/>
              <w:right w:val="nil"/>
            </w:tcBorders>
            <w:shd w:val="clear" w:color="auto" w:fill="auto"/>
            <w:noWrap/>
            <w:vAlign w:val="bottom"/>
            <w:hideMark/>
          </w:tcPr>
          <w:p w:rsidR="00F9470A" w:rsidRPr="00AC7651" w:rsidRDefault="00F9470A">
            <w:pPr>
              <w:rPr>
                <w:sz w:val="8"/>
                <w:szCs w:val="8"/>
              </w:rPr>
            </w:pPr>
          </w:p>
        </w:tc>
      </w:tr>
      <w:tr w:rsidR="00F9470A" w:rsidTr="00AC7651">
        <w:trPr>
          <w:gridAfter w:val="5"/>
          <w:wAfter w:w="661" w:type="dxa"/>
          <w:trHeight w:val="38"/>
        </w:trPr>
        <w:tc>
          <w:tcPr>
            <w:tcW w:w="2408" w:type="dxa"/>
            <w:tcBorders>
              <w:top w:val="nil"/>
              <w:left w:val="nil"/>
              <w:bottom w:val="nil"/>
              <w:right w:val="nil"/>
            </w:tcBorders>
            <w:shd w:val="clear" w:color="auto" w:fill="auto"/>
            <w:noWrap/>
            <w:vAlign w:val="bottom"/>
            <w:hideMark/>
          </w:tcPr>
          <w:p w:rsidR="00F9470A" w:rsidRPr="00F9470A" w:rsidRDefault="00F9470A">
            <w:pPr>
              <w:rPr>
                <w:rFonts w:ascii="Arial" w:hAnsi="Arial" w:cs="Arial"/>
                <w:b/>
                <w:bCs/>
                <w:color w:val="000000"/>
                <w:sz w:val="12"/>
                <w:szCs w:val="12"/>
              </w:rPr>
            </w:pPr>
            <w:r w:rsidRPr="00F9470A">
              <w:rPr>
                <w:rFonts w:ascii="Arial" w:hAnsi="Arial" w:cs="Arial"/>
                <w:b/>
                <w:bCs/>
                <w:color w:val="000000"/>
                <w:sz w:val="12"/>
                <w:szCs w:val="12"/>
              </w:rPr>
              <w:t>NOTE</w:t>
            </w:r>
          </w:p>
        </w:tc>
        <w:tc>
          <w:tcPr>
            <w:tcW w:w="249" w:type="dxa"/>
            <w:tcBorders>
              <w:top w:val="nil"/>
              <w:left w:val="nil"/>
              <w:bottom w:val="nil"/>
              <w:right w:val="nil"/>
            </w:tcBorders>
            <w:shd w:val="clear" w:color="auto" w:fill="auto"/>
            <w:vAlign w:val="bottom"/>
            <w:hideMark/>
          </w:tcPr>
          <w:p w:rsidR="00F9470A" w:rsidRPr="00F9470A" w:rsidRDefault="00F9470A">
            <w:pPr>
              <w:rPr>
                <w:rFonts w:ascii="Arial" w:hAnsi="Arial" w:cs="Arial"/>
                <w:b/>
                <w:bCs/>
                <w:color w:val="000000"/>
                <w:sz w:val="12"/>
                <w:szCs w:val="12"/>
              </w:rPr>
            </w:pPr>
          </w:p>
        </w:tc>
        <w:tc>
          <w:tcPr>
            <w:tcW w:w="250" w:type="dxa"/>
            <w:gridSpan w:val="2"/>
            <w:tcBorders>
              <w:top w:val="nil"/>
              <w:left w:val="nil"/>
              <w:bottom w:val="nil"/>
              <w:right w:val="nil"/>
            </w:tcBorders>
            <w:shd w:val="clear" w:color="auto" w:fill="auto"/>
            <w:noWrap/>
            <w:vAlign w:val="bottom"/>
            <w:hideMark/>
          </w:tcPr>
          <w:p w:rsidR="00F9470A" w:rsidRPr="00F9470A" w:rsidRDefault="00F9470A">
            <w:pPr>
              <w:jc w:val="center"/>
              <w:rPr>
                <w:sz w:val="12"/>
                <w:szCs w:val="12"/>
              </w:rPr>
            </w:pPr>
          </w:p>
        </w:tc>
        <w:tc>
          <w:tcPr>
            <w:tcW w:w="978" w:type="dxa"/>
            <w:tcBorders>
              <w:top w:val="nil"/>
              <w:left w:val="nil"/>
              <w:bottom w:val="nil"/>
              <w:right w:val="nil"/>
            </w:tcBorders>
            <w:shd w:val="clear" w:color="auto" w:fill="auto"/>
            <w:vAlign w:val="bottom"/>
            <w:hideMark/>
          </w:tcPr>
          <w:p w:rsidR="00F9470A" w:rsidRPr="00F9470A" w:rsidRDefault="00F9470A">
            <w:pPr>
              <w:rPr>
                <w:sz w:val="12"/>
                <w:szCs w:val="12"/>
              </w:rPr>
            </w:pPr>
          </w:p>
        </w:tc>
        <w:tc>
          <w:tcPr>
            <w:tcW w:w="648" w:type="dxa"/>
            <w:tcBorders>
              <w:top w:val="nil"/>
              <w:left w:val="nil"/>
              <w:bottom w:val="nil"/>
              <w:right w:val="nil"/>
            </w:tcBorders>
            <w:shd w:val="clear" w:color="auto" w:fill="auto"/>
            <w:noWrap/>
            <w:vAlign w:val="bottom"/>
            <w:hideMark/>
          </w:tcPr>
          <w:p w:rsidR="00F9470A" w:rsidRPr="00F9470A" w:rsidRDefault="00F9470A">
            <w:pPr>
              <w:jc w:val="center"/>
              <w:rPr>
                <w:sz w:val="12"/>
                <w:szCs w:val="12"/>
              </w:rPr>
            </w:pPr>
          </w:p>
        </w:tc>
        <w:tc>
          <w:tcPr>
            <w:tcW w:w="1134" w:type="dxa"/>
            <w:gridSpan w:val="2"/>
            <w:tcBorders>
              <w:top w:val="nil"/>
              <w:left w:val="nil"/>
              <w:bottom w:val="nil"/>
              <w:right w:val="nil"/>
            </w:tcBorders>
            <w:shd w:val="clear" w:color="auto" w:fill="auto"/>
            <w:vAlign w:val="bottom"/>
            <w:hideMark/>
          </w:tcPr>
          <w:p w:rsidR="00F9470A" w:rsidRPr="00F9470A" w:rsidRDefault="00F9470A">
            <w:pPr>
              <w:rPr>
                <w:sz w:val="12"/>
                <w:szCs w:val="12"/>
              </w:rPr>
            </w:pPr>
          </w:p>
        </w:tc>
        <w:tc>
          <w:tcPr>
            <w:tcW w:w="637" w:type="dxa"/>
            <w:tcBorders>
              <w:top w:val="nil"/>
              <w:left w:val="nil"/>
              <w:bottom w:val="nil"/>
              <w:right w:val="nil"/>
            </w:tcBorders>
            <w:shd w:val="clear" w:color="auto" w:fill="auto"/>
            <w:noWrap/>
            <w:vAlign w:val="bottom"/>
            <w:hideMark/>
          </w:tcPr>
          <w:p w:rsidR="00F9470A" w:rsidRPr="00F9470A" w:rsidRDefault="00F9470A">
            <w:pPr>
              <w:jc w:val="center"/>
              <w:rPr>
                <w:sz w:val="12"/>
                <w:szCs w:val="12"/>
              </w:rPr>
            </w:pPr>
          </w:p>
        </w:tc>
        <w:tc>
          <w:tcPr>
            <w:tcW w:w="1064" w:type="dxa"/>
            <w:gridSpan w:val="2"/>
            <w:tcBorders>
              <w:top w:val="nil"/>
              <w:left w:val="nil"/>
              <w:bottom w:val="nil"/>
              <w:right w:val="nil"/>
            </w:tcBorders>
            <w:shd w:val="clear" w:color="auto" w:fill="auto"/>
            <w:vAlign w:val="bottom"/>
            <w:hideMark/>
          </w:tcPr>
          <w:p w:rsidR="00F9470A" w:rsidRPr="00F9470A" w:rsidRDefault="00F9470A">
            <w:pPr>
              <w:rPr>
                <w:sz w:val="12"/>
                <w:szCs w:val="12"/>
              </w:rPr>
            </w:pPr>
          </w:p>
        </w:tc>
        <w:tc>
          <w:tcPr>
            <w:tcW w:w="709" w:type="dxa"/>
            <w:tcBorders>
              <w:top w:val="nil"/>
              <w:left w:val="nil"/>
              <w:bottom w:val="nil"/>
              <w:right w:val="nil"/>
            </w:tcBorders>
            <w:shd w:val="clear" w:color="auto" w:fill="auto"/>
            <w:noWrap/>
            <w:vAlign w:val="bottom"/>
            <w:hideMark/>
          </w:tcPr>
          <w:p w:rsidR="00F9470A" w:rsidRPr="00F9470A" w:rsidRDefault="00F9470A">
            <w:pPr>
              <w:jc w:val="center"/>
              <w:rPr>
                <w:sz w:val="12"/>
                <w:szCs w:val="12"/>
              </w:rPr>
            </w:pPr>
          </w:p>
        </w:tc>
        <w:tc>
          <w:tcPr>
            <w:tcW w:w="884" w:type="dxa"/>
            <w:gridSpan w:val="2"/>
            <w:tcBorders>
              <w:top w:val="nil"/>
              <w:left w:val="nil"/>
              <w:bottom w:val="nil"/>
              <w:right w:val="nil"/>
            </w:tcBorders>
            <w:shd w:val="clear" w:color="auto" w:fill="auto"/>
            <w:vAlign w:val="bottom"/>
            <w:hideMark/>
          </w:tcPr>
          <w:p w:rsidR="00F9470A" w:rsidRPr="00F9470A" w:rsidRDefault="00F9470A">
            <w:pPr>
              <w:rPr>
                <w:sz w:val="12"/>
                <w:szCs w:val="12"/>
              </w:rPr>
            </w:pPr>
          </w:p>
        </w:tc>
        <w:tc>
          <w:tcPr>
            <w:tcW w:w="675" w:type="dxa"/>
            <w:tcBorders>
              <w:top w:val="nil"/>
              <w:left w:val="nil"/>
              <w:bottom w:val="nil"/>
              <w:right w:val="nil"/>
            </w:tcBorders>
            <w:shd w:val="clear" w:color="auto" w:fill="auto"/>
            <w:noWrap/>
            <w:vAlign w:val="bottom"/>
            <w:hideMark/>
          </w:tcPr>
          <w:p w:rsidR="00F9470A" w:rsidRPr="00F9470A" w:rsidRDefault="00F9470A">
            <w:pPr>
              <w:jc w:val="center"/>
              <w:rPr>
                <w:sz w:val="12"/>
                <w:szCs w:val="12"/>
              </w:rPr>
            </w:pPr>
          </w:p>
        </w:tc>
        <w:tc>
          <w:tcPr>
            <w:tcW w:w="884" w:type="dxa"/>
            <w:gridSpan w:val="2"/>
            <w:tcBorders>
              <w:top w:val="nil"/>
              <w:left w:val="nil"/>
              <w:bottom w:val="nil"/>
              <w:right w:val="nil"/>
            </w:tcBorders>
            <w:shd w:val="clear" w:color="auto" w:fill="auto"/>
            <w:vAlign w:val="bottom"/>
            <w:hideMark/>
          </w:tcPr>
          <w:p w:rsidR="00F9470A" w:rsidRPr="00F9470A" w:rsidRDefault="00F9470A">
            <w:pPr>
              <w:rPr>
                <w:sz w:val="12"/>
                <w:szCs w:val="12"/>
              </w:rPr>
            </w:pPr>
          </w:p>
        </w:tc>
        <w:tc>
          <w:tcPr>
            <w:tcW w:w="676" w:type="dxa"/>
            <w:tcBorders>
              <w:top w:val="nil"/>
              <w:left w:val="nil"/>
              <w:bottom w:val="nil"/>
              <w:right w:val="nil"/>
            </w:tcBorders>
            <w:shd w:val="clear" w:color="auto" w:fill="auto"/>
            <w:noWrap/>
            <w:vAlign w:val="bottom"/>
            <w:hideMark/>
          </w:tcPr>
          <w:p w:rsidR="00F9470A" w:rsidRPr="00F9470A" w:rsidRDefault="00F9470A">
            <w:pPr>
              <w:jc w:val="center"/>
              <w:rPr>
                <w:sz w:val="12"/>
                <w:szCs w:val="12"/>
              </w:rPr>
            </w:pPr>
          </w:p>
        </w:tc>
        <w:tc>
          <w:tcPr>
            <w:tcW w:w="992" w:type="dxa"/>
            <w:gridSpan w:val="2"/>
            <w:tcBorders>
              <w:top w:val="nil"/>
              <w:left w:val="nil"/>
              <w:bottom w:val="nil"/>
              <w:right w:val="nil"/>
            </w:tcBorders>
            <w:shd w:val="clear" w:color="auto" w:fill="auto"/>
            <w:vAlign w:val="bottom"/>
            <w:hideMark/>
          </w:tcPr>
          <w:p w:rsidR="00F9470A" w:rsidRPr="00F9470A" w:rsidRDefault="00F9470A">
            <w:pPr>
              <w:rPr>
                <w:sz w:val="12"/>
                <w:szCs w:val="12"/>
              </w:rPr>
            </w:pPr>
          </w:p>
        </w:tc>
        <w:tc>
          <w:tcPr>
            <w:tcW w:w="637" w:type="dxa"/>
            <w:tcBorders>
              <w:top w:val="nil"/>
              <w:left w:val="nil"/>
              <w:bottom w:val="nil"/>
              <w:right w:val="nil"/>
            </w:tcBorders>
            <w:shd w:val="clear" w:color="auto" w:fill="auto"/>
            <w:noWrap/>
            <w:vAlign w:val="bottom"/>
            <w:hideMark/>
          </w:tcPr>
          <w:p w:rsidR="00F9470A" w:rsidRPr="00F9470A" w:rsidRDefault="00F9470A">
            <w:pPr>
              <w:jc w:val="center"/>
              <w:rPr>
                <w:sz w:val="12"/>
                <w:szCs w:val="12"/>
              </w:rPr>
            </w:pPr>
          </w:p>
        </w:tc>
        <w:tc>
          <w:tcPr>
            <w:tcW w:w="884" w:type="dxa"/>
            <w:gridSpan w:val="2"/>
            <w:tcBorders>
              <w:top w:val="nil"/>
              <w:left w:val="nil"/>
              <w:bottom w:val="nil"/>
              <w:right w:val="nil"/>
            </w:tcBorders>
            <w:shd w:val="clear" w:color="auto" w:fill="auto"/>
            <w:vAlign w:val="bottom"/>
            <w:hideMark/>
          </w:tcPr>
          <w:p w:rsidR="00F9470A" w:rsidRPr="00F9470A" w:rsidRDefault="00F9470A">
            <w:pPr>
              <w:rPr>
                <w:sz w:val="12"/>
                <w:szCs w:val="12"/>
              </w:rPr>
            </w:pPr>
          </w:p>
        </w:tc>
        <w:tc>
          <w:tcPr>
            <w:tcW w:w="747" w:type="dxa"/>
            <w:tcBorders>
              <w:top w:val="nil"/>
              <w:left w:val="nil"/>
              <w:bottom w:val="nil"/>
              <w:right w:val="nil"/>
            </w:tcBorders>
            <w:shd w:val="clear" w:color="auto" w:fill="auto"/>
            <w:noWrap/>
            <w:vAlign w:val="bottom"/>
            <w:hideMark/>
          </w:tcPr>
          <w:p w:rsidR="00F9470A" w:rsidRPr="00F9470A" w:rsidRDefault="00F9470A">
            <w:pPr>
              <w:jc w:val="center"/>
              <w:rPr>
                <w:sz w:val="12"/>
                <w:szCs w:val="12"/>
              </w:rPr>
            </w:pPr>
          </w:p>
        </w:tc>
        <w:tc>
          <w:tcPr>
            <w:tcW w:w="980" w:type="dxa"/>
            <w:gridSpan w:val="5"/>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tcBorders>
              <w:top w:val="nil"/>
              <w:left w:val="nil"/>
              <w:bottom w:val="nil"/>
              <w:right w:val="nil"/>
            </w:tcBorders>
            <w:shd w:val="clear" w:color="auto" w:fill="auto"/>
            <w:noWrap/>
            <w:vAlign w:val="bottom"/>
            <w:hideMark/>
          </w:tcPr>
          <w:p w:rsidR="00F9470A" w:rsidRPr="00F9470A" w:rsidRDefault="00F9470A">
            <w:pPr>
              <w:rPr>
                <w:sz w:val="12"/>
                <w:szCs w:val="12"/>
              </w:rPr>
            </w:pPr>
          </w:p>
        </w:tc>
        <w:tc>
          <w:tcPr>
            <w:tcW w:w="236" w:type="dxa"/>
            <w:gridSpan w:val="2"/>
            <w:tcBorders>
              <w:top w:val="nil"/>
              <w:left w:val="nil"/>
              <w:bottom w:val="nil"/>
              <w:right w:val="nil"/>
            </w:tcBorders>
            <w:shd w:val="clear" w:color="auto" w:fill="auto"/>
            <w:noWrap/>
            <w:vAlign w:val="bottom"/>
            <w:hideMark/>
          </w:tcPr>
          <w:p w:rsidR="00F9470A" w:rsidRPr="00F9470A" w:rsidRDefault="00F9470A">
            <w:pPr>
              <w:rPr>
                <w:sz w:val="12"/>
                <w:szCs w:val="12"/>
              </w:rPr>
            </w:pPr>
          </w:p>
        </w:tc>
      </w:tr>
      <w:tr w:rsidR="00F9470A" w:rsidTr="006D425F">
        <w:trPr>
          <w:gridAfter w:val="4"/>
          <w:wAfter w:w="556" w:type="dxa"/>
          <w:trHeight w:val="229"/>
        </w:trPr>
        <w:tc>
          <w:tcPr>
            <w:tcW w:w="16013" w:type="dxa"/>
            <w:gridSpan w:val="33"/>
            <w:tcBorders>
              <w:top w:val="nil"/>
              <w:left w:val="nil"/>
              <w:bottom w:val="nil"/>
              <w:right w:val="nil"/>
            </w:tcBorders>
            <w:shd w:val="clear" w:color="auto" w:fill="auto"/>
            <w:vAlign w:val="center"/>
            <w:hideMark/>
          </w:tcPr>
          <w:p w:rsidR="00F9470A" w:rsidRPr="00F9470A" w:rsidRDefault="00F9470A">
            <w:pPr>
              <w:rPr>
                <w:rFonts w:ascii="Arial" w:hAnsi="Arial" w:cs="Arial"/>
                <w:color w:val="000000"/>
                <w:sz w:val="12"/>
                <w:szCs w:val="12"/>
              </w:rPr>
            </w:pPr>
            <w:r w:rsidRPr="00F9470A">
              <w:rPr>
                <w:rFonts w:ascii="Arial" w:hAnsi="Arial" w:cs="Arial"/>
                <w:color w:val="000000"/>
                <w:sz w:val="12"/>
                <w:szCs w:val="12"/>
              </w:rPr>
              <w:t>This projection is partly based upon estimated annual percentage increases and as a living document does not represent a firm future position or intention. Council carefully consider the full budget position on an annual basis prior to approval and use this document as a guideline only to ensure that Council's aims and objectives are included within acceptable margins which would not produce large year end shortfalls. Any surplus funds remaining at year end are placed within the unallocated earmarked reserves in order to fund future projects or to subsidise future precept levels. It should also be noted that council are making the assumption, for this projection, that the Local Council Tax Grant will be withdrawn totally after 2018/19 although SGC project the withdrawal to be implemented in 2020/21. Minimal amounts are involved which will not impact the Forward Plan.</w:t>
            </w:r>
          </w:p>
        </w:tc>
      </w:tr>
    </w:tbl>
    <w:p w:rsidR="00BE3513" w:rsidRDefault="00BE3513" w:rsidP="007D22FD">
      <w:pPr>
        <w:jc w:val="both"/>
        <w:rPr>
          <w:rFonts w:ascii="Arial" w:hAnsi="Arial" w:cs="Arial"/>
          <w:sz w:val="16"/>
          <w:szCs w:val="16"/>
        </w:rPr>
      </w:pPr>
    </w:p>
    <w:sectPr w:rsidR="00BE3513" w:rsidSect="00642BAB">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70A" w:rsidRDefault="00F9470A">
      <w:r>
        <w:separator/>
      </w:r>
    </w:p>
  </w:endnote>
  <w:endnote w:type="continuationSeparator" w:id="0">
    <w:p w:rsidR="00F9470A" w:rsidRDefault="00F9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70A" w:rsidRDefault="00F9470A" w:rsidP="004647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470A" w:rsidRDefault="00F9470A" w:rsidP="004647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70A" w:rsidRPr="00B06912" w:rsidRDefault="00F9470A" w:rsidP="007808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70A" w:rsidRDefault="00F9470A">
      <w:r>
        <w:separator/>
      </w:r>
    </w:p>
  </w:footnote>
  <w:footnote w:type="continuationSeparator" w:id="0">
    <w:p w:rsidR="00F9470A" w:rsidRDefault="00F94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70A" w:rsidRPr="0005642E" w:rsidRDefault="00F9470A" w:rsidP="0005642E">
    <w:pPr>
      <w:pStyle w:val="Header"/>
      <w:jc w:val="center"/>
      <w:rPr>
        <w:i/>
        <w:sz w:val="20"/>
        <w:szCs w:val="20"/>
      </w:rPr>
    </w:pPr>
    <w:r w:rsidRPr="0005642E">
      <w:rPr>
        <w:i/>
        <w:sz w:val="20"/>
        <w:szCs w:val="20"/>
      </w:rPr>
      <w:t xml:space="preserve">BSTC Strategic Planning Meeting – </w:t>
    </w:r>
    <w:r>
      <w:rPr>
        <w:i/>
        <w:sz w:val="20"/>
        <w:szCs w:val="20"/>
      </w:rPr>
      <w:t>10</w:t>
    </w:r>
    <w:r w:rsidRPr="0005642E">
      <w:rPr>
        <w:i/>
        <w:sz w:val="20"/>
        <w:szCs w:val="20"/>
        <w:vertAlign w:val="superscript"/>
      </w:rPr>
      <w:t>th</w:t>
    </w:r>
    <w:r w:rsidRPr="0005642E">
      <w:rPr>
        <w:i/>
        <w:sz w:val="20"/>
        <w:szCs w:val="20"/>
      </w:rPr>
      <w:t xml:space="preserve"> September 201</w:t>
    </w:r>
    <w:r>
      <w:rPr>
        <w:i/>
        <w:sz w:val="20"/>
        <w:szCs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2A8"/>
    <w:multiLevelType w:val="multilevel"/>
    <w:tmpl w:val="E37463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336DF7"/>
    <w:multiLevelType w:val="hybridMultilevel"/>
    <w:tmpl w:val="CD7C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173BC"/>
    <w:multiLevelType w:val="hybridMultilevel"/>
    <w:tmpl w:val="97844302"/>
    <w:lvl w:ilvl="0" w:tplc="72046C52">
      <w:start w:val="1"/>
      <w:numFmt w:val="bullet"/>
      <w:pStyle w:val="Vickysbullets"/>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1D2EFC"/>
    <w:multiLevelType w:val="hybridMultilevel"/>
    <w:tmpl w:val="7528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A5AF9"/>
    <w:multiLevelType w:val="hybridMultilevel"/>
    <w:tmpl w:val="8690AAA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B2B6AF0"/>
    <w:multiLevelType w:val="hybridMultilevel"/>
    <w:tmpl w:val="13B4411E"/>
    <w:lvl w:ilvl="0" w:tplc="9B2EA840">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6" w15:restartNumberingAfterBreak="0">
    <w:nsid w:val="1CA2355C"/>
    <w:multiLevelType w:val="hybridMultilevel"/>
    <w:tmpl w:val="83CA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A48A2"/>
    <w:multiLevelType w:val="hybridMultilevel"/>
    <w:tmpl w:val="736ED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80491C"/>
    <w:multiLevelType w:val="hybridMultilevel"/>
    <w:tmpl w:val="4C1AE9F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F8B5D02"/>
    <w:multiLevelType w:val="hybridMultilevel"/>
    <w:tmpl w:val="A346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751638"/>
    <w:multiLevelType w:val="hybridMultilevel"/>
    <w:tmpl w:val="2B583D2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1" w15:restartNumberingAfterBreak="0">
    <w:nsid w:val="2ED31A78"/>
    <w:multiLevelType w:val="hybridMultilevel"/>
    <w:tmpl w:val="6DDABA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6226786"/>
    <w:multiLevelType w:val="hybridMultilevel"/>
    <w:tmpl w:val="A5EA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868D3"/>
    <w:multiLevelType w:val="hybridMultilevel"/>
    <w:tmpl w:val="4282DB6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3FE03398"/>
    <w:multiLevelType w:val="hybridMultilevel"/>
    <w:tmpl w:val="2356FAE2"/>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6C94A91"/>
    <w:multiLevelType w:val="hybridMultilevel"/>
    <w:tmpl w:val="DF8C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66791"/>
    <w:multiLevelType w:val="hybridMultilevel"/>
    <w:tmpl w:val="FB16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555121"/>
    <w:multiLevelType w:val="hybridMultilevel"/>
    <w:tmpl w:val="9334C40A"/>
    <w:lvl w:ilvl="0" w:tplc="87BCDA6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981686"/>
    <w:multiLevelType w:val="hybridMultilevel"/>
    <w:tmpl w:val="69C2D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81A1F24"/>
    <w:multiLevelType w:val="hybridMultilevel"/>
    <w:tmpl w:val="C43E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046115"/>
    <w:multiLevelType w:val="hybridMultilevel"/>
    <w:tmpl w:val="4FE0C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A45A9B"/>
    <w:multiLevelType w:val="hybridMultilevel"/>
    <w:tmpl w:val="6BB0D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0D5D1E"/>
    <w:multiLevelType w:val="hybridMultilevel"/>
    <w:tmpl w:val="3E941F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9250E4A"/>
    <w:multiLevelType w:val="hybridMultilevel"/>
    <w:tmpl w:val="DDE09C6C"/>
    <w:lvl w:ilvl="0" w:tplc="227EB1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A366818"/>
    <w:multiLevelType w:val="hybridMultilevel"/>
    <w:tmpl w:val="301C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0"/>
  </w:num>
  <w:num w:numId="5">
    <w:abstractNumId w:val="14"/>
  </w:num>
  <w:num w:numId="6">
    <w:abstractNumId w:val="13"/>
  </w:num>
  <w:num w:numId="7">
    <w:abstractNumId w:val="4"/>
  </w:num>
  <w:num w:numId="8">
    <w:abstractNumId w:val="11"/>
  </w:num>
  <w:num w:numId="9">
    <w:abstractNumId w:val="6"/>
  </w:num>
  <w:num w:numId="10">
    <w:abstractNumId w:val="12"/>
  </w:num>
  <w:num w:numId="11">
    <w:abstractNumId w:val="17"/>
  </w:num>
  <w:num w:numId="12">
    <w:abstractNumId w:val="17"/>
  </w:num>
  <w:num w:numId="13">
    <w:abstractNumId w:val="18"/>
  </w:num>
  <w:num w:numId="14">
    <w:abstractNumId w:val="20"/>
  </w:num>
  <w:num w:numId="15">
    <w:abstractNumId w:val="24"/>
  </w:num>
  <w:num w:numId="16">
    <w:abstractNumId w:val="19"/>
  </w:num>
  <w:num w:numId="17">
    <w:abstractNumId w:val="15"/>
  </w:num>
  <w:num w:numId="18">
    <w:abstractNumId w:val="16"/>
  </w:num>
  <w:num w:numId="19">
    <w:abstractNumId w:val="22"/>
  </w:num>
  <w:num w:numId="20">
    <w:abstractNumId w:val="3"/>
  </w:num>
  <w:num w:numId="21">
    <w:abstractNumId w:val="21"/>
  </w:num>
  <w:num w:numId="22">
    <w:abstractNumId w:val="23"/>
  </w:num>
  <w:num w:numId="23">
    <w:abstractNumId w:val="5"/>
  </w:num>
  <w:num w:numId="24">
    <w:abstractNumId w:val="9"/>
  </w:num>
  <w:num w:numId="25">
    <w:abstractNumId w:val="7"/>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D88"/>
    <w:rsid w:val="00005F56"/>
    <w:rsid w:val="00020974"/>
    <w:rsid w:val="00027977"/>
    <w:rsid w:val="00050C55"/>
    <w:rsid w:val="0005642E"/>
    <w:rsid w:val="000621E3"/>
    <w:rsid w:val="00065CA7"/>
    <w:rsid w:val="00070BCC"/>
    <w:rsid w:val="00091EC0"/>
    <w:rsid w:val="00096792"/>
    <w:rsid w:val="000A0029"/>
    <w:rsid w:val="000B26FC"/>
    <w:rsid w:val="000D005B"/>
    <w:rsid w:val="000D051C"/>
    <w:rsid w:val="000D7B8A"/>
    <w:rsid w:val="000E0F5C"/>
    <w:rsid w:val="000E1103"/>
    <w:rsid w:val="000E42F0"/>
    <w:rsid w:val="00112739"/>
    <w:rsid w:val="001174BE"/>
    <w:rsid w:val="00127595"/>
    <w:rsid w:val="00152BF0"/>
    <w:rsid w:val="00153A38"/>
    <w:rsid w:val="00155867"/>
    <w:rsid w:val="00155A75"/>
    <w:rsid w:val="00162885"/>
    <w:rsid w:val="001663B1"/>
    <w:rsid w:val="00167F7A"/>
    <w:rsid w:val="00192490"/>
    <w:rsid w:val="00196DA2"/>
    <w:rsid w:val="001A2D97"/>
    <w:rsid w:val="001C0960"/>
    <w:rsid w:val="001C4B94"/>
    <w:rsid w:val="001C7C13"/>
    <w:rsid w:val="001D6F84"/>
    <w:rsid w:val="001E1553"/>
    <w:rsid w:val="001F1272"/>
    <w:rsid w:val="00205702"/>
    <w:rsid w:val="00205E41"/>
    <w:rsid w:val="00210124"/>
    <w:rsid w:val="002255C6"/>
    <w:rsid w:val="00230AB9"/>
    <w:rsid w:val="0025068D"/>
    <w:rsid w:val="00253866"/>
    <w:rsid w:val="002556D7"/>
    <w:rsid w:val="00270D71"/>
    <w:rsid w:val="00272860"/>
    <w:rsid w:val="002B0D33"/>
    <w:rsid w:val="002B67AD"/>
    <w:rsid w:val="002B6D96"/>
    <w:rsid w:val="002B7A87"/>
    <w:rsid w:val="002D4AAA"/>
    <w:rsid w:val="0030377A"/>
    <w:rsid w:val="00311AF2"/>
    <w:rsid w:val="00322123"/>
    <w:rsid w:val="00340873"/>
    <w:rsid w:val="00352E2A"/>
    <w:rsid w:val="0035746D"/>
    <w:rsid w:val="003754FB"/>
    <w:rsid w:val="003758E2"/>
    <w:rsid w:val="00397CBC"/>
    <w:rsid w:val="003C6044"/>
    <w:rsid w:val="003D0EDE"/>
    <w:rsid w:val="003D4ECB"/>
    <w:rsid w:val="003D7734"/>
    <w:rsid w:val="003F4142"/>
    <w:rsid w:val="00402542"/>
    <w:rsid w:val="004242A5"/>
    <w:rsid w:val="00425BD9"/>
    <w:rsid w:val="00426BB9"/>
    <w:rsid w:val="00441A61"/>
    <w:rsid w:val="004555B0"/>
    <w:rsid w:val="00463F4C"/>
    <w:rsid w:val="004644F1"/>
    <w:rsid w:val="004647E1"/>
    <w:rsid w:val="0047044C"/>
    <w:rsid w:val="0047380A"/>
    <w:rsid w:val="00474EBD"/>
    <w:rsid w:val="00475A29"/>
    <w:rsid w:val="004A0F6A"/>
    <w:rsid w:val="004A1B82"/>
    <w:rsid w:val="004B6CA5"/>
    <w:rsid w:val="004C0915"/>
    <w:rsid w:val="004D3F5B"/>
    <w:rsid w:val="004E5E87"/>
    <w:rsid w:val="004E6B80"/>
    <w:rsid w:val="0050153A"/>
    <w:rsid w:val="00524D46"/>
    <w:rsid w:val="00526722"/>
    <w:rsid w:val="00567A1F"/>
    <w:rsid w:val="005712E5"/>
    <w:rsid w:val="00587E18"/>
    <w:rsid w:val="00590EF7"/>
    <w:rsid w:val="0059592E"/>
    <w:rsid w:val="005A6A93"/>
    <w:rsid w:val="005C6788"/>
    <w:rsid w:val="005C70B7"/>
    <w:rsid w:val="005F7842"/>
    <w:rsid w:val="00603D63"/>
    <w:rsid w:val="00605DA1"/>
    <w:rsid w:val="00622D1B"/>
    <w:rsid w:val="00624E17"/>
    <w:rsid w:val="00626ACC"/>
    <w:rsid w:val="0063708E"/>
    <w:rsid w:val="00642BAB"/>
    <w:rsid w:val="006440A0"/>
    <w:rsid w:val="006601CF"/>
    <w:rsid w:val="006655EE"/>
    <w:rsid w:val="00686DB9"/>
    <w:rsid w:val="00695902"/>
    <w:rsid w:val="006B089F"/>
    <w:rsid w:val="006B0DEE"/>
    <w:rsid w:val="006B7016"/>
    <w:rsid w:val="006C7449"/>
    <w:rsid w:val="006D425F"/>
    <w:rsid w:val="00715452"/>
    <w:rsid w:val="00744873"/>
    <w:rsid w:val="00750713"/>
    <w:rsid w:val="0076280E"/>
    <w:rsid w:val="007667AF"/>
    <w:rsid w:val="00780829"/>
    <w:rsid w:val="00785188"/>
    <w:rsid w:val="00785CB6"/>
    <w:rsid w:val="007870B4"/>
    <w:rsid w:val="007A25E6"/>
    <w:rsid w:val="007A2AD1"/>
    <w:rsid w:val="007A3F2B"/>
    <w:rsid w:val="007A4C7E"/>
    <w:rsid w:val="007C5D88"/>
    <w:rsid w:val="007D1042"/>
    <w:rsid w:val="007D22FD"/>
    <w:rsid w:val="007D4A5E"/>
    <w:rsid w:val="008006DD"/>
    <w:rsid w:val="00814662"/>
    <w:rsid w:val="0082287A"/>
    <w:rsid w:val="00835EA2"/>
    <w:rsid w:val="00844AE8"/>
    <w:rsid w:val="0084651D"/>
    <w:rsid w:val="00857DA1"/>
    <w:rsid w:val="00872FF6"/>
    <w:rsid w:val="008901F8"/>
    <w:rsid w:val="008A3BA5"/>
    <w:rsid w:val="008A5871"/>
    <w:rsid w:val="008B37EC"/>
    <w:rsid w:val="008C3F6A"/>
    <w:rsid w:val="008F44D8"/>
    <w:rsid w:val="009035B4"/>
    <w:rsid w:val="00904480"/>
    <w:rsid w:val="00911B29"/>
    <w:rsid w:val="009157B1"/>
    <w:rsid w:val="00921ED3"/>
    <w:rsid w:val="0093248E"/>
    <w:rsid w:val="00940B42"/>
    <w:rsid w:val="0095403F"/>
    <w:rsid w:val="009708CA"/>
    <w:rsid w:val="009714A3"/>
    <w:rsid w:val="00973F24"/>
    <w:rsid w:val="009B7BF4"/>
    <w:rsid w:val="009C0C61"/>
    <w:rsid w:val="009C4464"/>
    <w:rsid w:val="009C679F"/>
    <w:rsid w:val="00A01B64"/>
    <w:rsid w:val="00A03111"/>
    <w:rsid w:val="00A045F4"/>
    <w:rsid w:val="00A0759A"/>
    <w:rsid w:val="00A12082"/>
    <w:rsid w:val="00A30DE8"/>
    <w:rsid w:val="00A4219F"/>
    <w:rsid w:val="00A543C5"/>
    <w:rsid w:val="00A56415"/>
    <w:rsid w:val="00A84B6C"/>
    <w:rsid w:val="00AA1AEB"/>
    <w:rsid w:val="00AB4EF1"/>
    <w:rsid w:val="00AB5D16"/>
    <w:rsid w:val="00AC7651"/>
    <w:rsid w:val="00AD08FC"/>
    <w:rsid w:val="00AD6A0C"/>
    <w:rsid w:val="00AD6CA6"/>
    <w:rsid w:val="00AE1341"/>
    <w:rsid w:val="00AE1505"/>
    <w:rsid w:val="00AE5135"/>
    <w:rsid w:val="00AF3843"/>
    <w:rsid w:val="00AF771D"/>
    <w:rsid w:val="00B05A76"/>
    <w:rsid w:val="00B05AC1"/>
    <w:rsid w:val="00B06912"/>
    <w:rsid w:val="00BA247B"/>
    <w:rsid w:val="00BA64B1"/>
    <w:rsid w:val="00BC39AE"/>
    <w:rsid w:val="00BD3151"/>
    <w:rsid w:val="00BD4612"/>
    <w:rsid w:val="00BD55A3"/>
    <w:rsid w:val="00BE3513"/>
    <w:rsid w:val="00BF2FA6"/>
    <w:rsid w:val="00C04C6E"/>
    <w:rsid w:val="00C11EE8"/>
    <w:rsid w:val="00C13082"/>
    <w:rsid w:val="00C32F94"/>
    <w:rsid w:val="00C46F9B"/>
    <w:rsid w:val="00C54722"/>
    <w:rsid w:val="00C55C6D"/>
    <w:rsid w:val="00C61816"/>
    <w:rsid w:val="00C81E91"/>
    <w:rsid w:val="00C85498"/>
    <w:rsid w:val="00C90480"/>
    <w:rsid w:val="00C94E71"/>
    <w:rsid w:val="00C95215"/>
    <w:rsid w:val="00CA0946"/>
    <w:rsid w:val="00CA2D23"/>
    <w:rsid w:val="00CA465A"/>
    <w:rsid w:val="00CC2223"/>
    <w:rsid w:val="00CF5F67"/>
    <w:rsid w:val="00CF7CF6"/>
    <w:rsid w:val="00D34043"/>
    <w:rsid w:val="00D401BD"/>
    <w:rsid w:val="00D630F1"/>
    <w:rsid w:val="00D72223"/>
    <w:rsid w:val="00D919A1"/>
    <w:rsid w:val="00DA7067"/>
    <w:rsid w:val="00DE2AA4"/>
    <w:rsid w:val="00DE5EE2"/>
    <w:rsid w:val="00DF320D"/>
    <w:rsid w:val="00DF6FDA"/>
    <w:rsid w:val="00E169B7"/>
    <w:rsid w:val="00E43ED4"/>
    <w:rsid w:val="00E503EB"/>
    <w:rsid w:val="00E5735E"/>
    <w:rsid w:val="00E6461B"/>
    <w:rsid w:val="00E72BAB"/>
    <w:rsid w:val="00E80B0A"/>
    <w:rsid w:val="00E82BFE"/>
    <w:rsid w:val="00EA0008"/>
    <w:rsid w:val="00EB1B3F"/>
    <w:rsid w:val="00ED2421"/>
    <w:rsid w:val="00EE2E29"/>
    <w:rsid w:val="00EE5AD4"/>
    <w:rsid w:val="00F105B6"/>
    <w:rsid w:val="00F17720"/>
    <w:rsid w:val="00F2572E"/>
    <w:rsid w:val="00F337A1"/>
    <w:rsid w:val="00F35841"/>
    <w:rsid w:val="00F47F5F"/>
    <w:rsid w:val="00F57D2B"/>
    <w:rsid w:val="00F65F74"/>
    <w:rsid w:val="00F70F54"/>
    <w:rsid w:val="00F8368A"/>
    <w:rsid w:val="00F84609"/>
    <w:rsid w:val="00F9470A"/>
    <w:rsid w:val="00FB6F81"/>
    <w:rsid w:val="00FD10BE"/>
    <w:rsid w:val="00FF0087"/>
    <w:rsid w:val="00FF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5B4C09E"/>
  <w15:chartTrackingRefBased/>
  <w15:docId w15:val="{72F2FEB1-372F-4657-AFBD-669C29AB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55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6912"/>
    <w:pPr>
      <w:tabs>
        <w:tab w:val="center" w:pos="4153"/>
        <w:tab w:val="right" w:pos="8306"/>
      </w:tabs>
    </w:pPr>
  </w:style>
  <w:style w:type="paragraph" w:styleId="Footer">
    <w:name w:val="footer"/>
    <w:basedOn w:val="Normal"/>
    <w:rsid w:val="00B06912"/>
    <w:pPr>
      <w:tabs>
        <w:tab w:val="center" w:pos="4153"/>
        <w:tab w:val="right" w:pos="8306"/>
      </w:tabs>
    </w:pPr>
  </w:style>
  <w:style w:type="character" w:styleId="PageNumber">
    <w:name w:val="page number"/>
    <w:basedOn w:val="DefaultParagraphFont"/>
    <w:rsid w:val="004647E1"/>
  </w:style>
  <w:style w:type="paragraph" w:styleId="DocumentMap">
    <w:name w:val="Document Map"/>
    <w:basedOn w:val="Normal"/>
    <w:semiHidden/>
    <w:rsid w:val="003758E2"/>
    <w:pPr>
      <w:shd w:val="clear" w:color="auto" w:fill="000080"/>
    </w:pPr>
    <w:rPr>
      <w:rFonts w:ascii="Tahoma" w:hAnsi="Tahoma" w:cs="Tahoma"/>
      <w:sz w:val="20"/>
      <w:szCs w:val="20"/>
    </w:rPr>
  </w:style>
  <w:style w:type="paragraph" w:styleId="NormalWeb">
    <w:name w:val="Normal (Web)"/>
    <w:basedOn w:val="Normal"/>
    <w:rsid w:val="004555B0"/>
    <w:pPr>
      <w:spacing w:before="100" w:beforeAutospacing="1" w:after="100" w:afterAutospacing="1"/>
    </w:pPr>
  </w:style>
  <w:style w:type="paragraph" w:styleId="ListParagraph">
    <w:name w:val="List Paragraph"/>
    <w:basedOn w:val="Normal"/>
    <w:uiPriority w:val="34"/>
    <w:qFormat/>
    <w:rsid w:val="00844AE8"/>
    <w:pPr>
      <w:spacing w:after="200" w:line="276" w:lineRule="auto"/>
      <w:ind w:left="720"/>
      <w:contextualSpacing/>
    </w:pPr>
    <w:rPr>
      <w:rFonts w:ascii="Calibri" w:hAnsi="Calibri"/>
      <w:sz w:val="22"/>
      <w:szCs w:val="22"/>
      <w:lang w:eastAsia="en-US"/>
    </w:rPr>
  </w:style>
  <w:style w:type="paragraph" w:customStyle="1" w:styleId="Vickysbullets">
    <w:name w:val="Vicky's bullets"/>
    <w:basedOn w:val="Normal"/>
    <w:rsid w:val="00626ACC"/>
    <w:pPr>
      <w:numPr>
        <w:numId w:val="3"/>
      </w:numPr>
    </w:pPr>
    <w:rPr>
      <w:lang w:eastAsia="en-US"/>
    </w:rPr>
  </w:style>
  <w:style w:type="table" w:styleId="TableGrid">
    <w:name w:val="Table Grid"/>
    <w:basedOn w:val="TableNormal"/>
    <w:uiPriority w:val="39"/>
    <w:rsid w:val="00903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50713"/>
    <w:rPr>
      <w:b/>
      <w:bCs/>
    </w:rPr>
  </w:style>
  <w:style w:type="paragraph" w:styleId="BalloonText">
    <w:name w:val="Balloon Text"/>
    <w:basedOn w:val="Normal"/>
    <w:link w:val="BalloonTextChar"/>
    <w:rsid w:val="00C55C6D"/>
    <w:rPr>
      <w:rFonts w:ascii="Segoe UI" w:hAnsi="Segoe UI" w:cs="Segoe UI"/>
      <w:sz w:val="18"/>
      <w:szCs w:val="18"/>
    </w:rPr>
  </w:style>
  <w:style w:type="character" w:customStyle="1" w:styleId="BalloonTextChar">
    <w:name w:val="Balloon Text Char"/>
    <w:basedOn w:val="DefaultParagraphFont"/>
    <w:link w:val="BalloonText"/>
    <w:rsid w:val="00C55C6D"/>
    <w:rPr>
      <w:rFonts w:ascii="Segoe UI" w:hAnsi="Segoe UI" w:cs="Segoe UI"/>
      <w:sz w:val="18"/>
      <w:szCs w:val="18"/>
    </w:rPr>
  </w:style>
  <w:style w:type="paragraph" w:customStyle="1" w:styleId="gmail-msolistparagraph">
    <w:name w:val="gmail-msolistparagraph"/>
    <w:basedOn w:val="Normal"/>
    <w:rsid w:val="00F70F54"/>
    <w:pPr>
      <w:spacing w:before="100" w:beforeAutospacing="1" w:after="100" w:afterAutospacing="1"/>
    </w:pPr>
    <w:rPr>
      <w:rFonts w:eastAsiaTheme="minorHAnsi"/>
    </w:rPr>
  </w:style>
  <w:style w:type="paragraph" w:styleId="FootnoteText">
    <w:name w:val="footnote text"/>
    <w:basedOn w:val="Normal"/>
    <w:link w:val="FootnoteTextChar"/>
    <w:rsid w:val="00FF0087"/>
    <w:rPr>
      <w:sz w:val="20"/>
      <w:szCs w:val="20"/>
    </w:rPr>
  </w:style>
  <w:style w:type="character" w:customStyle="1" w:styleId="FootnoteTextChar">
    <w:name w:val="Footnote Text Char"/>
    <w:basedOn w:val="DefaultParagraphFont"/>
    <w:link w:val="FootnoteText"/>
    <w:rsid w:val="00FF0087"/>
  </w:style>
  <w:style w:type="character" w:styleId="FootnoteReference">
    <w:name w:val="footnote reference"/>
    <w:uiPriority w:val="99"/>
    <w:unhideWhenUsed/>
    <w:rsid w:val="00FF00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1595">
      <w:bodyDiv w:val="1"/>
      <w:marLeft w:val="0"/>
      <w:marRight w:val="0"/>
      <w:marTop w:val="0"/>
      <w:marBottom w:val="0"/>
      <w:divBdr>
        <w:top w:val="none" w:sz="0" w:space="0" w:color="auto"/>
        <w:left w:val="none" w:sz="0" w:space="0" w:color="auto"/>
        <w:bottom w:val="none" w:sz="0" w:space="0" w:color="auto"/>
        <w:right w:val="none" w:sz="0" w:space="0" w:color="auto"/>
      </w:divBdr>
    </w:div>
    <w:div w:id="466045126">
      <w:bodyDiv w:val="1"/>
      <w:marLeft w:val="0"/>
      <w:marRight w:val="0"/>
      <w:marTop w:val="0"/>
      <w:marBottom w:val="0"/>
      <w:divBdr>
        <w:top w:val="none" w:sz="0" w:space="0" w:color="auto"/>
        <w:left w:val="none" w:sz="0" w:space="0" w:color="auto"/>
        <w:bottom w:val="none" w:sz="0" w:space="0" w:color="auto"/>
        <w:right w:val="none" w:sz="0" w:space="0" w:color="auto"/>
      </w:divBdr>
    </w:div>
    <w:div w:id="525871542">
      <w:bodyDiv w:val="1"/>
      <w:marLeft w:val="0"/>
      <w:marRight w:val="0"/>
      <w:marTop w:val="0"/>
      <w:marBottom w:val="0"/>
      <w:divBdr>
        <w:top w:val="none" w:sz="0" w:space="0" w:color="auto"/>
        <w:left w:val="none" w:sz="0" w:space="0" w:color="auto"/>
        <w:bottom w:val="none" w:sz="0" w:space="0" w:color="auto"/>
        <w:right w:val="none" w:sz="0" w:space="0" w:color="auto"/>
      </w:divBdr>
    </w:div>
    <w:div w:id="673261387">
      <w:bodyDiv w:val="1"/>
      <w:marLeft w:val="0"/>
      <w:marRight w:val="0"/>
      <w:marTop w:val="0"/>
      <w:marBottom w:val="0"/>
      <w:divBdr>
        <w:top w:val="none" w:sz="0" w:space="0" w:color="auto"/>
        <w:left w:val="none" w:sz="0" w:space="0" w:color="auto"/>
        <w:bottom w:val="none" w:sz="0" w:space="0" w:color="auto"/>
        <w:right w:val="none" w:sz="0" w:space="0" w:color="auto"/>
      </w:divBdr>
    </w:div>
    <w:div w:id="933516156">
      <w:bodyDiv w:val="1"/>
      <w:marLeft w:val="0"/>
      <w:marRight w:val="0"/>
      <w:marTop w:val="0"/>
      <w:marBottom w:val="0"/>
      <w:divBdr>
        <w:top w:val="none" w:sz="0" w:space="0" w:color="auto"/>
        <w:left w:val="none" w:sz="0" w:space="0" w:color="auto"/>
        <w:bottom w:val="none" w:sz="0" w:space="0" w:color="auto"/>
        <w:right w:val="none" w:sz="0" w:space="0" w:color="auto"/>
      </w:divBdr>
    </w:div>
    <w:div w:id="988826583">
      <w:bodyDiv w:val="1"/>
      <w:marLeft w:val="0"/>
      <w:marRight w:val="0"/>
      <w:marTop w:val="0"/>
      <w:marBottom w:val="0"/>
      <w:divBdr>
        <w:top w:val="none" w:sz="0" w:space="0" w:color="auto"/>
        <w:left w:val="none" w:sz="0" w:space="0" w:color="auto"/>
        <w:bottom w:val="none" w:sz="0" w:space="0" w:color="auto"/>
        <w:right w:val="none" w:sz="0" w:space="0" w:color="auto"/>
      </w:divBdr>
    </w:div>
    <w:div w:id="1017148455">
      <w:bodyDiv w:val="1"/>
      <w:marLeft w:val="0"/>
      <w:marRight w:val="0"/>
      <w:marTop w:val="0"/>
      <w:marBottom w:val="0"/>
      <w:divBdr>
        <w:top w:val="none" w:sz="0" w:space="0" w:color="auto"/>
        <w:left w:val="none" w:sz="0" w:space="0" w:color="auto"/>
        <w:bottom w:val="none" w:sz="0" w:space="0" w:color="auto"/>
        <w:right w:val="none" w:sz="0" w:space="0" w:color="auto"/>
      </w:divBdr>
    </w:div>
    <w:div w:id="1120883518">
      <w:bodyDiv w:val="1"/>
      <w:marLeft w:val="0"/>
      <w:marRight w:val="0"/>
      <w:marTop w:val="0"/>
      <w:marBottom w:val="0"/>
      <w:divBdr>
        <w:top w:val="none" w:sz="0" w:space="0" w:color="auto"/>
        <w:left w:val="none" w:sz="0" w:space="0" w:color="auto"/>
        <w:bottom w:val="none" w:sz="0" w:space="0" w:color="auto"/>
        <w:right w:val="none" w:sz="0" w:space="0" w:color="auto"/>
      </w:divBdr>
    </w:div>
    <w:div w:id="1255942593">
      <w:bodyDiv w:val="1"/>
      <w:marLeft w:val="0"/>
      <w:marRight w:val="0"/>
      <w:marTop w:val="0"/>
      <w:marBottom w:val="0"/>
      <w:divBdr>
        <w:top w:val="none" w:sz="0" w:space="0" w:color="auto"/>
        <w:left w:val="none" w:sz="0" w:space="0" w:color="auto"/>
        <w:bottom w:val="none" w:sz="0" w:space="0" w:color="auto"/>
        <w:right w:val="none" w:sz="0" w:space="0" w:color="auto"/>
      </w:divBdr>
      <w:divsChild>
        <w:div w:id="95053721">
          <w:marLeft w:val="0"/>
          <w:marRight w:val="0"/>
          <w:marTop w:val="0"/>
          <w:marBottom w:val="0"/>
          <w:divBdr>
            <w:top w:val="none" w:sz="0" w:space="0" w:color="auto"/>
            <w:left w:val="none" w:sz="0" w:space="0" w:color="auto"/>
            <w:bottom w:val="none" w:sz="0" w:space="0" w:color="auto"/>
            <w:right w:val="none" w:sz="0" w:space="0" w:color="auto"/>
          </w:divBdr>
        </w:div>
        <w:div w:id="156305157">
          <w:marLeft w:val="0"/>
          <w:marRight w:val="0"/>
          <w:marTop w:val="0"/>
          <w:marBottom w:val="0"/>
          <w:divBdr>
            <w:top w:val="none" w:sz="0" w:space="0" w:color="auto"/>
            <w:left w:val="none" w:sz="0" w:space="0" w:color="auto"/>
            <w:bottom w:val="none" w:sz="0" w:space="0" w:color="auto"/>
            <w:right w:val="none" w:sz="0" w:space="0" w:color="auto"/>
          </w:divBdr>
        </w:div>
        <w:div w:id="320425316">
          <w:marLeft w:val="0"/>
          <w:marRight w:val="0"/>
          <w:marTop w:val="0"/>
          <w:marBottom w:val="0"/>
          <w:divBdr>
            <w:top w:val="none" w:sz="0" w:space="0" w:color="auto"/>
            <w:left w:val="none" w:sz="0" w:space="0" w:color="auto"/>
            <w:bottom w:val="none" w:sz="0" w:space="0" w:color="auto"/>
            <w:right w:val="none" w:sz="0" w:space="0" w:color="auto"/>
          </w:divBdr>
        </w:div>
        <w:div w:id="549805575">
          <w:marLeft w:val="0"/>
          <w:marRight w:val="0"/>
          <w:marTop w:val="0"/>
          <w:marBottom w:val="0"/>
          <w:divBdr>
            <w:top w:val="none" w:sz="0" w:space="0" w:color="auto"/>
            <w:left w:val="none" w:sz="0" w:space="0" w:color="auto"/>
            <w:bottom w:val="none" w:sz="0" w:space="0" w:color="auto"/>
            <w:right w:val="none" w:sz="0" w:space="0" w:color="auto"/>
          </w:divBdr>
        </w:div>
        <w:div w:id="731658590">
          <w:marLeft w:val="0"/>
          <w:marRight w:val="0"/>
          <w:marTop w:val="0"/>
          <w:marBottom w:val="0"/>
          <w:divBdr>
            <w:top w:val="none" w:sz="0" w:space="0" w:color="auto"/>
            <w:left w:val="none" w:sz="0" w:space="0" w:color="auto"/>
            <w:bottom w:val="none" w:sz="0" w:space="0" w:color="auto"/>
            <w:right w:val="none" w:sz="0" w:space="0" w:color="auto"/>
          </w:divBdr>
        </w:div>
        <w:div w:id="1318847447">
          <w:marLeft w:val="0"/>
          <w:marRight w:val="0"/>
          <w:marTop w:val="0"/>
          <w:marBottom w:val="0"/>
          <w:divBdr>
            <w:top w:val="none" w:sz="0" w:space="0" w:color="auto"/>
            <w:left w:val="none" w:sz="0" w:space="0" w:color="auto"/>
            <w:bottom w:val="none" w:sz="0" w:space="0" w:color="auto"/>
            <w:right w:val="none" w:sz="0" w:space="0" w:color="auto"/>
          </w:divBdr>
        </w:div>
        <w:div w:id="1390805950">
          <w:marLeft w:val="0"/>
          <w:marRight w:val="0"/>
          <w:marTop w:val="0"/>
          <w:marBottom w:val="0"/>
          <w:divBdr>
            <w:top w:val="none" w:sz="0" w:space="0" w:color="auto"/>
            <w:left w:val="none" w:sz="0" w:space="0" w:color="auto"/>
            <w:bottom w:val="none" w:sz="0" w:space="0" w:color="auto"/>
            <w:right w:val="none" w:sz="0" w:space="0" w:color="auto"/>
          </w:divBdr>
        </w:div>
        <w:div w:id="1400709081">
          <w:marLeft w:val="0"/>
          <w:marRight w:val="0"/>
          <w:marTop w:val="0"/>
          <w:marBottom w:val="0"/>
          <w:divBdr>
            <w:top w:val="none" w:sz="0" w:space="0" w:color="auto"/>
            <w:left w:val="none" w:sz="0" w:space="0" w:color="auto"/>
            <w:bottom w:val="none" w:sz="0" w:space="0" w:color="auto"/>
            <w:right w:val="none" w:sz="0" w:space="0" w:color="auto"/>
          </w:divBdr>
        </w:div>
        <w:div w:id="1415131964">
          <w:marLeft w:val="0"/>
          <w:marRight w:val="0"/>
          <w:marTop w:val="0"/>
          <w:marBottom w:val="0"/>
          <w:divBdr>
            <w:top w:val="none" w:sz="0" w:space="0" w:color="auto"/>
            <w:left w:val="none" w:sz="0" w:space="0" w:color="auto"/>
            <w:bottom w:val="none" w:sz="0" w:space="0" w:color="auto"/>
            <w:right w:val="none" w:sz="0" w:space="0" w:color="auto"/>
          </w:divBdr>
        </w:div>
        <w:div w:id="1569729826">
          <w:marLeft w:val="0"/>
          <w:marRight w:val="0"/>
          <w:marTop w:val="0"/>
          <w:marBottom w:val="0"/>
          <w:divBdr>
            <w:top w:val="none" w:sz="0" w:space="0" w:color="auto"/>
            <w:left w:val="none" w:sz="0" w:space="0" w:color="auto"/>
            <w:bottom w:val="none" w:sz="0" w:space="0" w:color="auto"/>
            <w:right w:val="none" w:sz="0" w:space="0" w:color="auto"/>
          </w:divBdr>
        </w:div>
        <w:div w:id="2030446263">
          <w:marLeft w:val="0"/>
          <w:marRight w:val="0"/>
          <w:marTop w:val="0"/>
          <w:marBottom w:val="0"/>
          <w:divBdr>
            <w:top w:val="none" w:sz="0" w:space="0" w:color="auto"/>
            <w:left w:val="none" w:sz="0" w:space="0" w:color="auto"/>
            <w:bottom w:val="none" w:sz="0" w:space="0" w:color="auto"/>
            <w:right w:val="none" w:sz="0" w:space="0" w:color="auto"/>
          </w:divBdr>
        </w:div>
        <w:div w:id="2060592374">
          <w:marLeft w:val="0"/>
          <w:marRight w:val="0"/>
          <w:marTop w:val="0"/>
          <w:marBottom w:val="0"/>
          <w:divBdr>
            <w:top w:val="none" w:sz="0" w:space="0" w:color="auto"/>
            <w:left w:val="none" w:sz="0" w:space="0" w:color="auto"/>
            <w:bottom w:val="none" w:sz="0" w:space="0" w:color="auto"/>
            <w:right w:val="none" w:sz="0" w:space="0" w:color="auto"/>
          </w:divBdr>
        </w:div>
      </w:divsChild>
    </w:div>
    <w:div w:id="1430152345">
      <w:bodyDiv w:val="1"/>
      <w:marLeft w:val="0"/>
      <w:marRight w:val="0"/>
      <w:marTop w:val="0"/>
      <w:marBottom w:val="0"/>
      <w:divBdr>
        <w:top w:val="none" w:sz="0" w:space="0" w:color="auto"/>
        <w:left w:val="none" w:sz="0" w:space="0" w:color="auto"/>
        <w:bottom w:val="none" w:sz="0" w:space="0" w:color="auto"/>
        <w:right w:val="none" w:sz="0" w:space="0" w:color="auto"/>
      </w:divBdr>
    </w:div>
    <w:div w:id="1536118099">
      <w:bodyDiv w:val="1"/>
      <w:marLeft w:val="0"/>
      <w:marRight w:val="0"/>
      <w:marTop w:val="0"/>
      <w:marBottom w:val="0"/>
      <w:divBdr>
        <w:top w:val="none" w:sz="0" w:space="0" w:color="auto"/>
        <w:left w:val="none" w:sz="0" w:space="0" w:color="auto"/>
        <w:bottom w:val="none" w:sz="0" w:space="0" w:color="auto"/>
        <w:right w:val="none" w:sz="0" w:space="0" w:color="auto"/>
      </w:divBdr>
    </w:div>
    <w:div w:id="1692098355">
      <w:bodyDiv w:val="1"/>
      <w:marLeft w:val="0"/>
      <w:marRight w:val="0"/>
      <w:marTop w:val="0"/>
      <w:marBottom w:val="0"/>
      <w:divBdr>
        <w:top w:val="none" w:sz="0" w:space="0" w:color="auto"/>
        <w:left w:val="none" w:sz="0" w:space="0" w:color="auto"/>
        <w:bottom w:val="none" w:sz="0" w:space="0" w:color="auto"/>
        <w:right w:val="none" w:sz="0" w:space="0" w:color="auto"/>
      </w:divBdr>
    </w:div>
    <w:div w:id="1796220374">
      <w:bodyDiv w:val="1"/>
      <w:marLeft w:val="0"/>
      <w:marRight w:val="0"/>
      <w:marTop w:val="0"/>
      <w:marBottom w:val="0"/>
      <w:divBdr>
        <w:top w:val="none" w:sz="0" w:space="0" w:color="auto"/>
        <w:left w:val="none" w:sz="0" w:space="0" w:color="auto"/>
        <w:bottom w:val="none" w:sz="0" w:space="0" w:color="auto"/>
        <w:right w:val="none" w:sz="0" w:space="0" w:color="auto"/>
      </w:divBdr>
    </w:div>
    <w:div w:id="1966036520">
      <w:bodyDiv w:val="1"/>
      <w:marLeft w:val="0"/>
      <w:marRight w:val="0"/>
      <w:marTop w:val="0"/>
      <w:marBottom w:val="0"/>
      <w:divBdr>
        <w:top w:val="none" w:sz="0" w:space="0" w:color="auto"/>
        <w:left w:val="none" w:sz="0" w:space="0" w:color="auto"/>
        <w:bottom w:val="none" w:sz="0" w:space="0" w:color="auto"/>
        <w:right w:val="none" w:sz="0" w:space="0" w:color="auto"/>
      </w:divBdr>
    </w:div>
    <w:div w:id="20872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891CA46ECE8E43B8599341AF5E98AE" ma:contentTypeVersion="12" ma:contentTypeDescription="Create a new document." ma:contentTypeScope="" ma:versionID="ab5fad72963f4641e420cf57630824c3">
  <xsd:schema xmlns:xsd="http://www.w3.org/2001/XMLSchema" xmlns:xs="http://www.w3.org/2001/XMLSchema" xmlns:p="http://schemas.microsoft.com/office/2006/metadata/properties" xmlns:ns2="f80bf440-f76c-482a-9ce2-35c54b6728dc" xmlns:ns3="9c812a9a-031c-4ac9-8d4d-6863ba6e9288" targetNamespace="http://schemas.microsoft.com/office/2006/metadata/properties" ma:root="true" ma:fieldsID="6596376397f0a73e659e2deea57553e9" ns2:_="" ns3:_="">
    <xsd:import namespace="f80bf440-f76c-482a-9ce2-35c54b6728dc"/>
    <xsd:import namespace="9c812a9a-031c-4ac9-8d4d-6863ba6e92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f440-f76c-482a-9ce2-35c54b6728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12a9a-031c-4ac9-8d4d-6863ba6e92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F990D-1BAD-4593-9C60-511C1E4B3389}"/>
</file>

<file path=customXml/itemProps2.xml><?xml version="1.0" encoding="utf-8"?>
<ds:datastoreItem xmlns:ds="http://schemas.openxmlformats.org/officeDocument/2006/customXml" ds:itemID="{A1BDA076-AC63-4D39-9CCF-F1AA4528B61B}"/>
</file>

<file path=customXml/itemProps3.xml><?xml version="1.0" encoding="utf-8"?>
<ds:datastoreItem xmlns:ds="http://schemas.openxmlformats.org/officeDocument/2006/customXml" ds:itemID="{8D003C65-0539-4B49-A02D-D7EE72DE82AC}"/>
</file>

<file path=docProps/app.xml><?xml version="1.0" encoding="utf-8"?>
<Properties xmlns="http://schemas.openxmlformats.org/officeDocument/2006/extended-properties" xmlns:vt="http://schemas.openxmlformats.org/officeDocument/2006/docPropsVTypes">
  <Template>Normal.dotm</Template>
  <TotalTime>136</TotalTime>
  <Pages>7</Pages>
  <Words>3743</Words>
  <Characters>20561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STRATEGIC PLANNING DAY</vt:lpstr>
    </vt:vector>
  </TitlesOfParts>
  <Company>Bradley Stoke Town Council</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DAY</dc:title>
  <dc:subject/>
  <dc:creator>HUB6250XV3</dc:creator>
  <cp:keywords/>
  <dc:description/>
  <cp:lastModifiedBy>Sharon Petela</cp:lastModifiedBy>
  <cp:revision>11</cp:revision>
  <cp:lastPrinted>2018-09-11T10:36:00Z</cp:lastPrinted>
  <dcterms:created xsi:type="dcterms:W3CDTF">2018-09-11T07:10:00Z</dcterms:created>
  <dcterms:modified xsi:type="dcterms:W3CDTF">2018-09-11T10:38:00Z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0x0101009A891CA46ECE8E43B8599341AF5E98AE</vt:lpwstr>
  </property>
  <property fmtid="{D5CDD505-2E9C-101B-9397-08002B2CF9AE}" pid="3" name="Order">
    <vt:r8>3446800</vt:r8>
  </property>
</Properties>
</file>