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2E" w:rsidRPr="0005642E" w:rsidRDefault="0005642E" w:rsidP="003758E2">
      <w:pPr>
        <w:jc w:val="center"/>
        <w:outlineLvl w:val="0"/>
        <w:rPr>
          <w:b/>
          <w:sz w:val="16"/>
          <w:szCs w:val="16"/>
        </w:rPr>
      </w:pPr>
    </w:p>
    <w:p w:rsidR="004555B0" w:rsidRPr="001F1272" w:rsidRDefault="004555B0" w:rsidP="003758E2">
      <w:pPr>
        <w:jc w:val="center"/>
        <w:outlineLvl w:val="0"/>
        <w:rPr>
          <w:b/>
          <w:sz w:val="32"/>
          <w:szCs w:val="32"/>
        </w:rPr>
      </w:pPr>
      <w:r w:rsidRPr="001F1272">
        <w:rPr>
          <w:b/>
          <w:sz w:val="32"/>
          <w:szCs w:val="32"/>
        </w:rPr>
        <w:t>Bradley Stoke Town Council</w:t>
      </w:r>
    </w:p>
    <w:p w:rsidR="004555B0" w:rsidRPr="00844AE8" w:rsidRDefault="004555B0" w:rsidP="003758E2">
      <w:pPr>
        <w:jc w:val="center"/>
        <w:outlineLvl w:val="0"/>
        <w:rPr>
          <w:b/>
          <w:sz w:val="16"/>
          <w:szCs w:val="16"/>
        </w:rPr>
      </w:pPr>
    </w:p>
    <w:p w:rsidR="00A0759A" w:rsidRPr="001F1272" w:rsidRDefault="007C5D88" w:rsidP="003758E2">
      <w:pPr>
        <w:jc w:val="center"/>
        <w:outlineLvl w:val="0"/>
        <w:rPr>
          <w:b/>
          <w:sz w:val="28"/>
          <w:szCs w:val="28"/>
          <w:u w:val="single"/>
        </w:rPr>
      </w:pPr>
      <w:r w:rsidRPr="001F1272">
        <w:rPr>
          <w:b/>
          <w:sz w:val="28"/>
          <w:szCs w:val="28"/>
          <w:u w:val="single"/>
        </w:rPr>
        <w:t xml:space="preserve">STRATEGIC PLANNING </w:t>
      </w:r>
      <w:r w:rsidR="00BE3513" w:rsidRPr="001F1272">
        <w:rPr>
          <w:b/>
          <w:sz w:val="28"/>
          <w:szCs w:val="28"/>
          <w:u w:val="single"/>
        </w:rPr>
        <w:t>MEETING</w:t>
      </w:r>
      <w:r w:rsidR="004555B0" w:rsidRPr="001F1272">
        <w:rPr>
          <w:b/>
          <w:sz w:val="28"/>
          <w:szCs w:val="28"/>
          <w:u w:val="single"/>
        </w:rPr>
        <w:t xml:space="preserve"> – </w:t>
      </w:r>
      <w:r w:rsidR="00872FF6" w:rsidRPr="001F1272">
        <w:rPr>
          <w:b/>
          <w:sz w:val="28"/>
          <w:szCs w:val="28"/>
          <w:u w:val="single"/>
        </w:rPr>
        <w:t>11</w:t>
      </w:r>
      <w:r w:rsidR="004555B0" w:rsidRPr="001F1272">
        <w:rPr>
          <w:b/>
          <w:sz w:val="28"/>
          <w:szCs w:val="28"/>
          <w:u w:val="single"/>
          <w:vertAlign w:val="superscript"/>
        </w:rPr>
        <w:t>th</w:t>
      </w:r>
      <w:r w:rsidR="004555B0" w:rsidRPr="001F1272">
        <w:rPr>
          <w:b/>
          <w:sz w:val="28"/>
          <w:szCs w:val="28"/>
          <w:u w:val="single"/>
        </w:rPr>
        <w:t xml:space="preserve"> September 201</w:t>
      </w:r>
      <w:r w:rsidR="00872FF6" w:rsidRPr="001F1272">
        <w:rPr>
          <w:b/>
          <w:sz w:val="28"/>
          <w:szCs w:val="28"/>
          <w:u w:val="single"/>
        </w:rPr>
        <w:t>7</w:t>
      </w:r>
    </w:p>
    <w:p w:rsidR="004555B0" w:rsidRPr="001F1272" w:rsidRDefault="004555B0" w:rsidP="007C5D88">
      <w:pPr>
        <w:jc w:val="center"/>
        <w:rPr>
          <w:b/>
          <w:sz w:val="16"/>
          <w:szCs w:val="16"/>
          <w:u w:val="single"/>
        </w:rPr>
      </w:pPr>
    </w:p>
    <w:p w:rsidR="00872FF6" w:rsidRPr="00872FF6" w:rsidRDefault="004555B0" w:rsidP="007C5D88">
      <w:r w:rsidRPr="001C4B94">
        <w:rPr>
          <w:b/>
        </w:rPr>
        <w:t>Present:</w:t>
      </w:r>
      <w:r w:rsidRPr="001C4B94">
        <w:rPr>
          <w:b/>
        </w:rPr>
        <w:tab/>
        <w:t>Councillors:</w:t>
      </w:r>
      <w:r w:rsidR="006601CF" w:rsidRPr="001C4B94">
        <w:rPr>
          <w:b/>
        </w:rPr>
        <w:tab/>
      </w:r>
      <w:r w:rsidR="00872FF6" w:rsidRPr="00872FF6">
        <w:t>Tom Aditya</w:t>
      </w:r>
    </w:p>
    <w:p w:rsidR="00872FF6" w:rsidRPr="00872FF6" w:rsidRDefault="00872FF6" w:rsidP="00872FF6">
      <w:pPr>
        <w:ind w:left="2160" w:firstLine="720"/>
      </w:pPr>
      <w:r w:rsidRPr="00872FF6">
        <w:t>John Ashe</w:t>
      </w:r>
    </w:p>
    <w:p w:rsidR="00872FF6" w:rsidRPr="00872FF6" w:rsidRDefault="00872FF6" w:rsidP="00872FF6">
      <w:pPr>
        <w:ind w:left="2160" w:firstLine="720"/>
      </w:pPr>
      <w:r w:rsidRPr="00872FF6">
        <w:t>Roger Avenin</w:t>
      </w:r>
    </w:p>
    <w:p w:rsidR="00F65F74" w:rsidRDefault="00F65F74" w:rsidP="00872FF6">
      <w:pPr>
        <w:ind w:left="2160" w:firstLine="720"/>
      </w:pPr>
      <w:r>
        <w:t>Elaine Hardwick</w:t>
      </w:r>
    </w:p>
    <w:p w:rsidR="0005642E" w:rsidRPr="001C4B94" w:rsidRDefault="00E5735E" w:rsidP="00F65F74">
      <w:pPr>
        <w:ind w:left="2160" w:firstLine="720"/>
      </w:pPr>
      <w:r w:rsidRPr="001C4B94">
        <w:t xml:space="preserve">Paul </w:t>
      </w:r>
      <w:r w:rsidR="0005642E" w:rsidRPr="001C4B94">
        <w:t>Hardwick</w:t>
      </w:r>
    </w:p>
    <w:p w:rsidR="00F65F74" w:rsidRDefault="0005642E" w:rsidP="007C5D88">
      <w:r w:rsidRPr="001C4B94">
        <w:tab/>
      </w:r>
      <w:r w:rsidRPr="001C4B94">
        <w:tab/>
      </w:r>
      <w:r w:rsidRPr="001C4B94">
        <w:tab/>
      </w:r>
      <w:r w:rsidRPr="001C4B94">
        <w:tab/>
      </w:r>
      <w:r w:rsidR="00F65F74">
        <w:t>Franklin Owusu-Antwi</w:t>
      </w:r>
    </w:p>
    <w:p w:rsidR="004555B0" w:rsidRPr="001C4B94" w:rsidRDefault="00E5735E" w:rsidP="00F65F74">
      <w:pPr>
        <w:ind w:left="2160" w:firstLine="720"/>
      </w:pPr>
      <w:r w:rsidRPr="001C4B94">
        <w:t>Ben Randles</w:t>
      </w:r>
    </w:p>
    <w:p w:rsidR="0005642E" w:rsidRDefault="0005642E" w:rsidP="007C5D88">
      <w:r w:rsidRPr="001C4B94">
        <w:tab/>
      </w:r>
      <w:r w:rsidRPr="001C4B94">
        <w:tab/>
      </w:r>
      <w:r w:rsidRPr="001C4B94">
        <w:tab/>
      </w:r>
      <w:r w:rsidRPr="001C4B94">
        <w:tab/>
        <w:t>Andy Ward</w:t>
      </w:r>
      <w:r w:rsidR="00872FF6">
        <w:t xml:space="preserve"> (Chair)</w:t>
      </w:r>
    </w:p>
    <w:p w:rsidR="00872FF6" w:rsidRDefault="00872FF6" w:rsidP="00872FF6">
      <w:pPr>
        <w:ind w:left="2160" w:firstLine="720"/>
      </w:pPr>
      <w:r>
        <w:t>Marion Ward</w:t>
      </w:r>
    </w:p>
    <w:p w:rsidR="00872FF6" w:rsidRPr="001C4B94" w:rsidRDefault="00872FF6" w:rsidP="007C5D88"/>
    <w:p w:rsidR="004555B0" w:rsidRPr="001C4B94" w:rsidRDefault="0030377A" w:rsidP="007C5D88">
      <w:r w:rsidRPr="001C4B94">
        <w:tab/>
      </w:r>
      <w:r w:rsidRPr="001C4B94">
        <w:tab/>
      </w:r>
      <w:r w:rsidR="004555B0" w:rsidRPr="001C4B94">
        <w:rPr>
          <w:b/>
        </w:rPr>
        <w:t>Officers:</w:t>
      </w:r>
      <w:r w:rsidR="004555B0" w:rsidRPr="001C4B94">
        <w:rPr>
          <w:b/>
        </w:rPr>
        <w:tab/>
      </w:r>
      <w:r w:rsidR="004555B0" w:rsidRPr="001C4B94">
        <w:t>Sharon Petela (Town Clerk)</w:t>
      </w:r>
    </w:p>
    <w:p w:rsidR="004555B0" w:rsidRPr="001C4B94" w:rsidRDefault="004555B0" w:rsidP="007C5D88">
      <w:r w:rsidRPr="001C4B94">
        <w:tab/>
      </w:r>
      <w:r w:rsidRPr="001C4B94">
        <w:tab/>
      </w:r>
      <w:r w:rsidRPr="001C4B94">
        <w:tab/>
      </w:r>
      <w:r w:rsidRPr="001C4B94">
        <w:tab/>
        <w:t>Rachel Pullen (RFO/Finance Manager)</w:t>
      </w:r>
    </w:p>
    <w:p w:rsidR="004555B0" w:rsidRPr="001C4B94" w:rsidRDefault="004555B0" w:rsidP="007C5D88">
      <w:r w:rsidRPr="001C4B94">
        <w:tab/>
      </w:r>
      <w:r w:rsidRPr="001C4B94">
        <w:tab/>
      </w:r>
      <w:r w:rsidRPr="001C4B94">
        <w:tab/>
      </w:r>
      <w:r w:rsidRPr="001C4B94">
        <w:tab/>
        <w:t>John Rendell (Deputy Town Clerk/Premises Manager)</w:t>
      </w:r>
    </w:p>
    <w:p w:rsidR="00E5735E" w:rsidRPr="001C4B94" w:rsidRDefault="00E5735E" w:rsidP="007C5D88">
      <w:r w:rsidRPr="001C4B94">
        <w:tab/>
      </w:r>
      <w:r w:rsidRPr="001C4B94">
        <w:tab/>
      </w:r>
      <w:r w:rsidRPr="001C4B94">
        <w:tab/>
      </w:r>
      <w:r w:rsidRPr="001C4B94">
        <w:tab/>
        <w:t xml:space="preserve">Graham Baker (Youth </w:t>
      </w:r>
      <w:r w:rsidR="00BC39AE">
        <w:t>Developmen</w:t>
      </w:r>
      <w:bookmarkStart w:id="0" w:name="_GoBack"/>
      <w:bookmarkEnd w:id="0"/>
      <w:r w:rsidR="00BC39AE">
        <w:t xml:space="preserve">t &amp; </w:t>
      </w:r>
      <w:r w:rsidRPr="001C4B94">
        <w:t>Participation Worker)</w:t>
      </w:r>
    </w:p>
    <w:p w:rsidR="00441A61" w:rsidRDefault="00441A61" w:rsidP="004555B0">
      <w:pPr>
        <w:pStyle w:val="NormalWeb"/>
        <w:spacing w:before="0" w:beforeAutospacing="0" w:after="0" w:afterAutospacing="0"/>
        <w:jc w:val="both"/>
        <w:rPr>
          <w:b/>
        </w:rPr>
      </w:pPr>
    </w:p>
    <w:p w:rsidR="00441A61" w:rsidRPr="00441A61" w:rsidRDefault="00441A61" w:rsidP="004555B0">
      <w:pPr>
        <w:pStyle w:val="NormalWeb"/>
        <w:spacing w:before="0" w:beforeAutospacing="0" w:after="0" w:afterAutospacing="0"/>
        <w:jc w:val="both"/>
        <w:rPr>
          <w:b/>
        </w:rPr>
      </w:pPr>
      <w:r w:rsidRPr="00441A61">
        <w:rPr>
          <w:b/>
        </w:rPr>
        <w:t>WELCOME &amp; INTRODUCTION</w:t>
      </w:r>
    </w:p>
    <w:p w:rsidR="00441A61" w:rsidRPr="00E5735E" w:rsidRDefault="00441A61" w:rsidP="004555B0">
      <w:pPr>
        <w:pStyle w:val="NormalWeb"/>
        <w:spacing w:before="0" w:beforeAutospacing="0" w:after="0" w:afterAutospacing="0"/>
        <w:jc w:val="both"/>
        <w:rPr>
          <w:sz w:val="16"/>
          <w:szCs w:val="16"/>
        </w:rPr>
      </w:pPr>
    </w:p>
    <w:p w:rsidR="004555B0" w:rsidRDefault="004555B0" w:rsidP="00E5735E">
      <w:pPr>
        <w:pStyle w:val="NormalWeb"/>
        <w:spacing w:before="0" w:beforeAutospacing="0" w:after="0" w:afterAutospacing="0"/>
        <w:ind w:left="720"/>
        <w:jc w:val="both"/>
      </w:pPr>
      <w:r>
        <w:t xml:space="preserve">Councillor </w:t>
      </w:r>
      <w:r w:rsidR="00872FF6">
        <w:t xml:space="preserve">Andy Ward welcomed </w:t>
      </w:r>
      <w:r>
        <w:t>everyone to the informal meeting.</w:t>
      </w:r>
    </w:p>
    <w:p w:rsidR="004555B0" w:rsidRPr="00844AE8" w:rsidRDefault="004555B0" w:rsidP="004555B0">
      <w:pPr>
        <w:pStyle w:val="NormalWeb"/>
        <w:spacing w:before="0" w:beforeAutospacing="0" w:after="0" w:afterAutospacing="0"/>
        <w:jc w:val="both"/>
        <w:rPr>
          <w:sz w:val="16"/>
          <w:szCs w:val="16"/>
        </w:rPr>
      </w:pPr>
    </w:p>
    <w:p w:rsidR="00441A61" w:rsidRDefault="00441A61" w:rsidP="004555B0">
      <w:pPr>
        <w:pStyle w:val="NormalWeb"/>
        <w:spacing w:before="0" w:beforeAutospacing="0" w:after="0" w:afterAutospacing="0"/>
        <w:jc w:val="both"/>
      </w:pPr>
      <w:r>
        <w:tab/>
      </w:r>
      <w:r w:rsidR="004555B0" w:rsidRPr="004555B0">
        <w:t xml:space="preserve">Strategic Planning is Council's process of defining its forward strategy or direction, and </w:t>
      </w:r>
      <w:r>
        <w:tab/>
      </w:r>
      <w:r w:rsidR="004555B0" w:rsidRPr="004555B0">
        <w:t xml:space="preserve">making decisions on allocating its resources to pursue this strategy, including its capital </w:t>
      </w:r>
      <w:r>
        <w:tab/>
      </w:r>
      <w:r w:rsidR="004555B0" w:rsidRPr="004555B0">
        <w:t xml:space="preserve">and </w:t>
      </w:r>
      <w:r w:rsidRPr="004555B0">
        <w:t>people. This</w:t>
      </w:r>
      <w:r w:rsidR="004555B0" w:rsidRPr="004555B0">
        <w:t xml:space="preserve"> is a process for determining where an organisation is going over the next </w:t>
      </w:r>
      <w:r>
        <w:tab/>
      </w:r>
      <w:r w:rsidR="004555B0" w:rsidRPr="004555B0">
        <w:t xml:space="preserve">year or more typically 5 years (long term). </w:t>
      </w:r>
    </w:p>
    <w:p w:rsidR="00441A61" w:rsidRPr="00844AE8" w:rsidRDefault="00441A61" w:rsidP="004555B0">
      <w:pPr>
        <w:pStyle w:val="NormalWeb"/>
        <w:spacing w:before="0" w:beforeAutospacing="0" w:after="0" w:afterAutospacing="0"/>
        <w:jc w:val="both"/>
        <w:rPr>
          <w:sz w:val="16"/>
          <w:szCs w:val="16"/>
        </w:rPr>
      </w:pPr>
    </w:p>
    <w:p w:rsidR="004555B0" w:rsidRPr="004555B0" w:rsidRDefault="00441A61" w:rsidP="004555B0">
      <w:pPr>
        <w:pStyle w:val="NormalWeb"/>
        <w:spacing w:before="0" w:beforeAutospacing="0" w:after="0" w:afterAutospacing="0"/>
        <w:jc w:val="both"/>
      </w:pPr>
      <w:r>
        <w:tab/>
      </w:r>
      <w:proofErr w:type="gramStart"/>
      <w:r w:rsidR="004555B0" w:rsidRPr="004555B0">
        <w:t>In order to</w:t>
      </w:r>
      <w:proofErr w:type="gramEnd"/>
      <w:r w:rsidR="004555B0" w:rsidRPr="004555B0">
        <w:t xml:space="preserve"> determine where it is going, council needs to know exactly where it stands, then </w:t>
      </w:r>
      <w:r>
        <w:tab/>
      </w:r>
      <w:r w:rsidR="004555B0" w:rsidRPr="004555B0">
        <w:t xml:space="preserve">determine where it wants to go and how it will get there. The results then feed directly into </w:t>
      </w:r>
    </w:p>
    <w:p w:rsidR="004555B0" w:rsidRPr="001F1272" w:rsidRDefault="00441A61" w:rsidP="004555B0">
      <w:pPr>
        <w:pStyle w:val="NormalWeb"/>
        <w:spacing w:before="0" w:beforeAutospacing="0" w:after="0" w:afterAutospacing="0"/>
        <w:ind w:left="720" w:hanging="720"/>
        <w:jc w:val="both"/>
      </w:pPr>
      <w:r w:rsidRPr="001F1272">
        <w:tab/>
      </w:r>
      <w:r w:rsidR="004555B0" w:rsidRPr="001F1272">
        <w:t>1.</w:t>
      </w:r>
      <w:r w:rsidR="004555B0" w:rsidRPr="001F1272">
        <w:tab/>
        <w:t>Future budgets: Council will be establishing the 201</w:t>
      </w:r>
      <w:r w:rsidR="00872FF6" w:rsidRPr="001F1272">
        <w:t>8</w:t>
      </w:r>
      <w:r w:rsidR="004555B0" w:rsidRPr="001F1272">
        <w:t>/1</w:t>
      </w:r>
      <w:r w:rsidR="00872FF6" w:rsidRPr="001F1272">
        <w:t>9</w:t>
      </w:r>
      <w:r w:rsidR="004555B0" w:rsidRPr="001F1272">
        <w:t xml:space="preserve"> budget from October 201</w:t>
      </w:r>
      <w:r w:rsidR="00872FF6" w:rsidRPr="001F1272">
        <w:t>7</w:t>
      </w:r>
      <w:r w:rsidR="004555B0" w:rsidRPr="001F1272">
        <w:t xml:space="preserve"> </w:t>
      </w:r>
      <w:r w:rsidR="004555B0" w:rsidRPr="001F1272">
        <w:tab/>
        <w:t>for final approval in January 201</w:t>
      </w:r>
      <w:r w:rsidR="00872FF6" w:rsidRPr="001F1272">
        <w:t>8</w:t>
      </w:r>
      <w:r w:rsidR="004555B0" w:rsidRPr="001F1272">
        <w:t>.</w:t>
      </w:r>
    </w:p>
    <w:p w:rsidR="004555B0" w:rsidRPr="001F1272" w:rsidRDefault="00441A61" w:rsidP="004555B0">
      <w:pPr>
        <w:pStyle w:val="NormalWeb"/>
        <w:spacing w:before="0" w:beforeAutospacing="0" w:after="0" w:afterAutospacing="0"/>
        <w:ind w:left="720" w:hanging="720"/>
        <w:jc w:val="both"/>
      </w:pPr>
      <w:r w:rsidRPr="001F1272">
        <w:tab/>
      </w:r>
      <w:r w:rsidR="004555B0" w:rsidRPr="001F1272">
        <w:t>2.</w:t>
      </w:r>
      <w:r w:rsidR="004555B0" w:rsidRPr="001F1272">
        <w:tab/>
        <w:t>Forward Plan:</w:t>
      </w:r>
      <w:r w:rsidR="004555B0" w:rsidRPr="001F1272">
        <w:tab/>
        <w:t>Council review the updated Forward Plan in January 201</w:t>
      </w:r>
      <w:r w:rsidR="00872FF6" w:rsidRPr="001F1272">
        <w:t>8</w:t>
      </w:r>
      <w:r w:rsidR="004555B0" w:rsidRPr="001F1272">
        <w:t xml:space="preserve"> for final </w:t>
      </w:r>
      <w:r w:rsidRPr="001F1272">
        <w:tab/>
      </w:r>
      <w:r w:rsidR="004555B0" w:rsidRPr="001F1272">
        <w:t>approval in March 201</w:t>
      </w:r>
      <w:r w:rsidR="00872FF6" w:rsidRPr="001F1272">
        <w:t>8</w:t>
      </w:r>
      <w:r w:rsidR="004555B0" w:rsidRPr="001F1272">
        <w:t xml:space="preserve"> – this includes the </w:t>
      </w:r>
      <w:r w:rsidR="00050C55" w:rsidRPr="001F1272">
        <w:t>5-year</w:t>
      </w:r>
      <w:r w:rsidR="004555B0" w:rsidRPr="001F1272">
        <w:t xml:space="preserve"> rolling budget.</w:t>
      </w:r>
    </w:p>
    <w:p w:rsidR="004555B0" w:rsidRDefault="004555B0" w:rsidP="007C5D88">
      <w:pPr>
        <w:rPr>
          <w:b/>
        </w:rPr>
      </w:pPr>
    </w:p>
    <w:p w:rsidR="00441A61" w:rsidRDefault="00441A61" w:rsidP="007C5D88">
      <w:pPr>
        <w:rPr>
          <w:b/>
        </w:rPr>
      </w:pPr>
    </w:p>
    <w:p w:rsidR="00441A61" w:rsidRDefault="00441A61" w:rsidP="007C5D88">
      <w:pPr>
        <w:rPr>
          <w:b/>
        </w:rPr>
      </w:pPr>
      <w:r>
        <w:rPr>
          <w:b/>
        </w:rPr>
        <w:t>1.</w:t>
      </w:r>
      <w:r>
        <w:rPr>
          <w:b/>
        </w:rPr>
        <w:tab/>
        <w:t>APOLOGIES</w:t>
      </w:r>
    </w:p>
    <w:p w:rsidR="00441A61" w:rsidRPr="00E5735E" w:rsidRDefault="00441A61" w:rsidP="007C5D88">
      <w:pPr>
        <w:rPr>
          <w:b/>
          <w:sz w:val="16"/>
          <w:szCs w:val="16"/>
        </w:rPr>
      </w:pPr>
      <w:r>
        <w:rPr>
          <w:b/>
        </w:rPr>
        <w:tab/>
      </w:r>
    </w:p>
    <w:p w:rsidR="00441A61" w:rsidRPr="00441A61" w:rsidRDefault="00441A61" w:rsidP="00E5735E">
      <w:pPr>
        <w:ind w:left="720"/>
        <w:jc w:val="both"/>
      </w:pPr>
      <w:r w:rsidRPr="00441A61">
        <w:t>Apologies have been received from Councillor</w:t>
      </w:r>
      <w:r w:rsidR="00872FF6">
        <w:t xml:space="preserve"> Keith Cranney</w:t>
      </w:r>
      <w:r w:rsidRPr="00441A61">
        <w:t>.</w:t>
      </w:r>
    </w:p>
    <w:p w:rsidR="00441A61" w:rsidRDefault="00441A61" w:rsidP="00441A61">
      <w:pPr>
        <w:jc w:val="both"/>
        <w:rPr>
          <w:b/>
        </w:rPr>
      </w:pPr>
    </w:p>
    <w:p w:rsidR="00441A61" w:rsidRDefault="00441A61" w:rsidP="00441A61">
      <w:pPr>
        <w:jc w:val="both"/>
        <w:rPr>
          <w:b/>
        </w:rPr>
      </w:pPr>
    </w:p>
    <w:p w:rsidR="00441A61" w:rsidRDefault="00441A61" w:rsidP="00441A61">
      <w:pPr>
        <w:jc w:val="both"/>
        <w:rPr>
          <w:b/>
        </w:rPr>
      </w:pPr>
      <w:r>
        <w:rPr>
          <w:b/>
        </w:rPr>
        <w:t>2.</w:t>
      </w:r>
      <w:r>
        <w:rPr>
          <w:b/>
        </w:rPr>
        <w:tab/>
        <w:t>STRATEGIC PLANNING</w:t>
      </w:r>
    </w:p>
    <w:p w:rsidR="00441A61" w:rsidRPr="001F1272" w:rsidRDefault="00441A61" w:rsidP="00441A61">
      <w:pPr>
        <w:jc w:val="both"/>
        <w:rPr>
          <w:b/>
          <w:sz w:val="16"/>
          <w:szCs w:val="16"/>
        </w:rPr>
      </w:pPr>
    </w:p>
    <w:p w:rsidR="007C5D88" w:rsidRDefault="007C5D88" w:rsidP="00441A61">
      <w:pPr>
        <w:numPr>
          <w:ilvl w:val="1"/>
          <w:numId w:val="1"/>
        </w:numPr>
        <w:tabs>
          <w:tab w:val="clear" w:pos="720"/>
          <w:tab w:val="num" w:pos="0"/>
        </w:tabs>
        <w:ind w:firstLine="0"/>
        <w:rPr>
          <w:b/>
        </w:rPr>
      </w:pPr>
      <w:r>
        <w:rPr>
          <w:b/>
        </w:rPr>
        <w:t>CURRENT POSITION</w:t>
      </w:r>
    </w:p>
    <w:p w:rsidR="00BA64B1" w:rsidRPr="00E5735E" w:rsidRDefault="00BA64B1" w:rsidP="00BA64B1">
      <w:pPr>
        <w:ind w:left="-720"/>
        <w:rPr>
          <w:b/>
          <w:sz w:val="16"/>
          <w:szCs w:val="16"/>
        </w:rPr>
      </w:pPr>
    </w:p>
    <w:p w:rsidR="00BE3513" w:rsidRPr="00CA2D23" w:rsidRDefault="00BE3513" w:rsidP="004E6B80">
      <w:pPr>
        <w:ind w:left="1440"/>
        <w:jc w:val="both"/>
      </w:pPr>
      <w:r>
        <w:t xml:space="preserve">Councillors reviewed the draft 5 Year Budget Plan as at </w:t>
      </w:r>
      <w:r w:rsidR="001F1272">
        <w:t>08.08.17</w:t>
      </w:r>
      <w:r>
        <w:t xml:space="preserve"> (see Appendix A</w:t>
      </w:r>
      <w:r w:rsidR="00C13082">
        <w:t>)</w:t>
      </w:r>
      <w:r>
        <w:t xml:space="preserve">. </w:t>
      </w:r>
      <w:r w:rsidR="004E6B80">
        <w:t xml:space="preserve"> </w:t>
      </w:r>
    </w:p>
    <w:p w:rsidR="003D4ECB" w:rsidRDefault="003D4ECB" w:rsidP="00322123">
      <w:pPr>
        <w:rPr>
          <w:b/>
          <w:i/>
        </w:rPr>
      </w:pPr>
    </w:p>
    <w:p w:rsidR="001F1272" w:rsidRDefault="001F1272" w:rsidP="00322123">
      <w:pPr>
        <w:rPr>
          <w:b/>
          <w:i/>
        </w:rPr>
      </w:pPr>
    </w:p>
    <w:p w:rsidR="006B7016" w:rsidRDefault="006B7016" w:rsidP="006B7016">
      <w:pPr>
        <w:ind w:left="2160" w:hanging="1440"/>
        <w:jc w:val="both"/>
        <w:rPr>
          <w:b/>
        </w:rPr>
      </w:pPr>
      <w:r w:rsidRPr="00BA64B1">
        <w:rPr>
          <w:b/>
        </w:rPr>
        <w:t>2.2</w:t>
      </w:r>
      <w:r>
        <w:rPr>
          <w:b/>
        </w:rPr>
        <w:t xml:space="preserve"> – 2.4 FUTURE DIRECTION + ACHIEVING OBJECTIVES + BUDGET IMPACT</w:t>
      </w:r>
    </w:p>
    <w:p w:rsidR="00CA0946" w:rsidRPr="001F1272" w:rsidRDefault="00CA0946" w:rsidP="00DF6FDA">
      <w:pPr>
        <w:rPr>
          <w:sz w:val="16"/>
          <w:szCs w:val="16"/>
        </w:rPr>
      </w:pPr>
    </w:p>
    <w:p w:rsidR="00DF6FDA" w:rsidRPr="007A2AD1" w:rsidRDefault="007A2AD1" w:rsidP="007A2AD1">
      <w:pPr>
        <w:ind w:left="1440"/>
        <w:rPr>
          <w:b/>
          <w:u w:val="single"/>
        </w:rPr>
      </w:pPr>
      <w:r w:rsidRPr="007A2AD1">
        <w:rPr>
          <w:b/>
          <w:u w:val="single"/>
        </w:rPr>
        <w:t xml:space="preserve">Security of Activity Centre Sites &amp; Public Open Spaces </w:t>
      </w:r>
      <w:r w:rsidR="008901F8" w:rsidRPr="007A2AD1">
        <w:rPr>
          <w:b/>
          <w:u w:val="single"/>
        </w:rPr>
        <w:t>(</w:t>
      </w:r>
      <w:r>
        <w:rPr>
          <w:b/>
          <w:u w:val="single"/>
        </w:rPr>
        <w:t xml:space="preserve">N/C - </w:t>
      </w:r>
      <w:r w:rsidRPr="007A2AD1">
        <w:rPr>
          <w:b/>
          <w:u w:val="single"/>
        </w:rPr>
        <w:t>Various</w:t>
      </w:r>
      <w:r w:rsidR="008901F8" w:rsidRPr="007A2AD1">
        <w:rPr>
          <w:b/>
          <w:u w:val="single"/>
        </w:rPr>
        <w:t xml:space="preserve">) </w:t>
      </w:r>
    </w:p>
    <w:p w:rsidR="00590EF7" w:rsidRPr="00205E41" w:rsidRDefault="00590EF7" w:rsidP="00844AE8">
      <w:pPr>
        <w:ind w:left="1440"/>
        <w:jc w:val="both"/>
        <w:rPr>
          <w:b/>
          <w:sz w:val="16"/>
          <w:szCs w:val="16"/>
          <w:u w:val="single"/>
        </w:rPr>
      </w:pPr>
    </w:p>
    <w:p w:rsidR="00CA465A" w:rsidRPr="00CA465A" w:rsidRDefault="007A2AD1" w:rsidP="007A2AD1">
      <w:pPr>
        <w:ind w:left="1418" w:firstLine="22"/>
        <w:jc w:val="both"/>
        <w:rPr>
          <w:szCs w:val="20"/>
          <w:lang w:eastAsia="en-US"/>
        </w:rPr>
      </w:pPr>
      <w:r>
        <w:rPr>
          <w:szCs w:val="20"/>
          <w:lang w:eastAsia="en-US"/>
        </w:rPr>
        <w:t>Following a recent incident where unauthorised vehicles attempted to gain access to the Jubilee Centre site, there is need to review robustness of padlocks, gates and access to all BSTC sites. Concerns have also been expressed about the large expanses of grass verges along Bradley Stoke Way and Brook Way.</w:t>
      </w:r>
    </w:p>
    <w:p w:rsidR="00CA465A" w:rsidRPr="00CA465A" w:rsidRDefault="00CA465A" w:rsidP="00CA465A">
      <w:pPr>
        <w:rPr>
          <w:szCs w:val="20"/>
          <w:lang w:eastAsia="en-US"/>
        </w:rPr>
      </w:pPr>
    </w:p>
    <w:p w:rsidR="00474EBD" w:rsidRDefault="00590EF7" w:rsidP="00590EF7">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sidR="000D7B8A">
        <w:rPr>
          <w:rFonts w:ascii="Times New Roman" w:hAnsi="Times New Roman"/>
          <w:b/>
          <w:i/>
          <w:sz w:val="24"/>
          <w:szCs w:val="24"/>
        </w:rPr>
        <w:t xml:space="preserve">BSTC </w:t>
      </w:r>
      <w:r w:rsidR="00474EBD">
        <w:rPr>
          <w:rFonts w:ascii="Times New Roman" w:hAnsi="Times New Roman"/>
          <w:b/>
          <w:i/>
          <w:sz w:val="24"/>
          <w:szCs w:val="24"/>
        </w:rPr>
        <w:t>obtains quotes and costings for the following:</w:t>
      </w:r>
    </w:p>
    <w:p w:rsidR="00474EBD" w:rsidRDefault="00474EBD" w:rsidP="00474EBD">
      <w:pPr>
        <w:pStyle w:val="ListParagraph"/>
        <w:numPr>
          <w:ilvl w:val="0"/>
          <w:numId w:val="19"/>
        </w:numPr>
        <w:spacing w:after="0" w:line="240" w:lineRule="auto"/>
        <w:jc w:val="both"/>
        <w:rPr>
          <w:rFonts w:ascii="Times New Roman" w:hAnsi="Times New Roman"/>
          <w:b/>
          <w:i/>
          <w:sz w:val="24"/>
          <w:szCs w:val="24"/>
        </w:rPr>
      </w:pPr>
      <w:r>
        <w:rPr>
          <w:rFonts w:ascii="Times New Roman" w:hAnsi="Times New Roman"/>
          <w:b/>
          <w:i/>
          <w:sz w:val="24"/>
          <w:szCs w:val="24"/>
        </w:rPr>
        <w:t>Installation of gate and fencing at Jubilee Centre</w:t>
      </w:r>
      <w:r w:rsidR="00AD08FC">
        <w:rPr>
          <w:rFonts w:ascii="Times New Roman" w:hAnsi="Times New Roman"/>
          <w:b/>
          <w:i/>
          <w:sz w:val="24"/>
          <w:szCs w:val="24"/>
        </w:rPr>
        <w:t>/</w:t>
      </w:r>
      <w:r>
        <w:rPr>
          <w:rFonts w:ascii="Times New Roman" w:hAnsi="Times New Roman"/>
          <w:b/>
          <w:i/>
          <w:sz w:val="24"/>
          <w:szCs w:val="24"/>
        </w:rPr>
        <w:t>Stoke Meadows</w:t>
      </w:r>
      <w:r w:rsidR="00AD08FC">
        <w:rPr>
          <w:rFonts w:ascii="Times New Roman" w:hAnsi="Times New Roman"/>
          <w:b/>
          <w:i/>
          <w:sz w:val="24"/>
          <w:szCs w:val="24"/>
        </w:rPr>
        <w:t xml:space="preserve"> entrance</w:t>
      </w:r>
    </w:p>
    <w:p w:rsidR="00474EBD" w:rsidRDefault="00474EBD" w:rsidP="00474EBD">
      <w:pPr>
        <w:pStyle w:val="ListParagraph"/>
        <w:numPr>
          <w:ilvl w:val="0"/>
          <w:numId w:val="19"/>
        </w:numPr>
        <w:spacing w:after="0" w:line="240" w:lineRule="auto"/>
        <w:jc w:val="both"/>
        <w:rPr>
          <w:rFonts w:ascii="Times New Roman" w:hAnsi="Times New Roman"/>
          <w:b/>
          <w:i/>
          <w:sz w:val="24"/>
          <w:szCs w:val="24"/>
        </w:rPr>
      </w:pPr>
      <w:r>
        <w:rPr>
          <w:rFonts w:ascii="Times New Roman" w:hAnsi="Times New Roman"/>
          <w:b/>
          <w:i/>
          <w:sz w:val="24"/>
          <w:szCs w:val="24"/>
        </w:rPr>
        <w:t>Installation of robust tamper-proof padlocks on all gates</w:t>
      </w:r>
    </w:p>
    <w:p w:rsidR="00474EBD" w:rsidRDefault="00474EBD" w:rsidP="00474EBD">
      <w:pPr>
        <w:pStyle w:val="ListParagraph"/>
        <w:numPr>
          <w:ilvl w:val="0"/>
          <w:numId w:val="19"/>
        </w:numPr>
        <w:spacing w:after="0" w:line="240" w:lineRule="auto"/>
        <w:jc w:val="both"/>
        <w:rPr>
          <w:rFonts w:ascii="Times New Roman" w:hAnsi="Times New Roman"/>
          <w:b/>
          <w:i/>
          <w:sz w:val="24"/>
          <w:szCs w:val="24"/>
        </w:rPr>
      </w:pPr>
      <w:r>
        <w:rPr>
          <w:rFonts w:ascii="Times New Roman" w:hAnsi="Times New Roman"/>
          <w:b/>
          <w:i/>
          <w:sz w:val="24"/>
          <w:szCs w:val="24"/>
        </w:rPr>
        <w:t>Installation of boulders on far side of Baileys Court Activity Centre</w:t>
      </w:r>
    </w:p>
    <w:p w:rsidR="00474EBD" w:rsidRDefault="00474EBD" w:rsidP="00474EBD">
      <w:pPr>
        <w:pStyle w:val="ListParagraph"/>
        <w:numPr>
          <w:ilvl w:val="0"/>
          <w:numId w:val="19"/>
        </w:numPr>
        <w:spacing w:after="0" w:line="240" w:lineRule="auto"/>
        <w:jc w:val="both"/>
        <w:rPr>
          <w:rFonts w:ascii="Times New Roman" w:hAnsi="Times New Roman"/>
          <w:b/>
          <w:i/>
          <w:sz w:val="24"/>
          <w:szCs w:val="24"/>
        </w:rPr>
      </w:pPr>
      <w:r>
        <w:rPr>
          <w:rFonts w:ascii="Times New Roman" w:hAnsi="Times New Roman"/>
          <w:b/>
          <w:i/>
          <w:sz w:val="24"/>
          <w:szCs w:val="24"/>
        </w:rPr>
        <w:t>Installation of soil banks on Bradley Stoke Way &amp; Brook Way</w:t>
      </w:r>
    </w:p>
    <w:p w:rsidR="00A045F4" w:rsidRDefault="00A045F4" w:rsidP="00DF6FDA"/>
    <w:p w:rsidR="00626ACC" w:rsidRDefault="00626ACC" w:rsidP="00DF6FDA"/>
    <w:p w:rsidR="00715452" w:rsidRPr="00205E41" w:rsidRDefault="00A045F4" w:rsidP="00A045F4">
      <w:pPr>
        <w:rPr>
          <w:b/>
          <w:u w:val="single"/>
        </w:rPr>
      </w:pPr>
      <w:r w:rsidRPr="00205E41">
        <w:tab/>
      </w:r>
      <w:r w:rsidRPr="00205E41">
        <w:tab/>
      </w:r>
      <w:r w:rsidR="00474EBD">
        <w:rPr>
          <w:b/>
          <w:u w:val="single"/>
        </w:rPr>
        <w:t xml:space="preserve">Replacement of BSTC Astra Van </w:t>
      </w:r>
      <w:r w:rsidR="0035746D" w:rsidRPr="00205E41">
        <w:rPr>
          <w:b/>
          <w:u w:val="single"/>
        </w:rPr>
        <w:t xml:space="preserve">(N/C </w:t>
      </w:r>
      <w:r w:rsidR="00626ACC" w:rsidRPr="00205E41">
        <w:rPr>
          <w:b/>
          <w:u w:val="single"/>
        </w:rPr>
        <w:t>30</w:t>
      </w:r>
      <w:r w:rsidR="00474EBD">
        <w:rPr>
          <w:b/>
          <w:u w:val="single"/>
        </w:rPr>
        <w:t>23</w:t>
      </w:r>
      <w:r w:rsidR="0035746D" w:rsidRPr="00205E41">
        <w:rPr>
          <w:b/>
          <w:u w:val="single"/>
        </w:rPr>
        <w:t>)</w:t>
      </w:r>
    </w:p>
    <w:p w:rsidR="00626ACC" w:rsidRPr="002B6D96" w:rsidRDefault="00A045F4" w:rsidP="009714A3">
      <w:pPr>
        <w:ind w:left="1440" w:hanging="1080"/>
        <w:jc w:val="both"/>
        <w:rPr>
          <w:sz w:val="16"/>
          <w:szCs w:val="16"/>
        </w:rPr>
      </w:pPr>
      <w:r>
        <w:tab/>
      </w:r>
    </w:p>
    <w:p w:rsidR="00474EBD" w:rsidRDefault="00B05AC1" w:rsidP="00205E41">
      <w:pPr>
        <w:ind w:left="1418"/>
        <w:jc w:val="both"/>
        <w:rPr>
          <w:rFonts w:eastAsiaTheme="minorHAnsi"/>
          <w:lang w:eastAsia="en-US"/>
        </w:rPr>
      </w:pPr>
      <w:r>
        <w:rPr>
          <w:rFonts w:eastAsiaTheme="minorHAnsi"/>
          <w:lang w:eastAsia="en-US"/>
        </w:rPr>
        <w:t xml:space="preserve">The current </w:t>
      </w:r>
      <w:r w:rsidR="00474EBD">
        <w:rPr>
          <w:rFonts w:eastAsiaTheme="minorHAnsi"/>
          <w:lang w:eastAsia="en-US"/>
        </w:rPr>
        <w:t>Astra van is coming to the end of its useful life and is beginning to need significant amounts of money spent on it in repairs. Rather than replacing like-for-like, it would be more beneficial to purchase another flatbed vehicle (</w:t>
      </w:r>
      <w:proofErr w:type="gramStart"/>
      <w:r w:rsidR="00474EBD">
        <w:rPr>
          <w:rFonts w:eastAsiaTheme="minorHAnsi"/>
          <w:lang w:eastAsia="en-US"/>
        </w:rPr>
        <w:t>similar to</w:t>
      </w:r>
      <w:proofErr w:type="gramEnd"/>
      <w:r w:rsidR="00474EBD">
        <w:rPr>
          <w:rFonts w:eastAsiaTheme="minorHAnsi"/>
          <w:lang w:eastAsia="en-US"/>
        </w:rPr>
        <w:t xml:space="preserve"> the one BSTC currently has). There is currently £22,000 in the Replacement Vehicle Budget reserve (N/C 3023).</w:t>
      </w:r>
    </w:p>
    <w:p w:rsidR="00474EBD" w:rsidRPr="001F1272" w:rsidRDefault="00474EBD" w:rsidP="00205E41">
      <w:pPr>
        <w:ind w:left="1418"/>
        <w:jc w:val="both"/>
        <w:rPr>
          <w:rFonts w:eastAsiaTheme="minorHAnsi"/>
          <w:sz w:val="16"/>
          <w:szCs w:val="16"/>
          <w:lang w:eastAsia="en-US"/>
        </w:rPr>
      </w:pPr>
    </w:p>
    <w:p w:rsidR="00205702" w:rsidRPr="00205702" w:rsidRDefault="009714A3" w:rsidP="0059592E">
      <w:pPr>
        <w:ind w:left="1440" w:hanging="1440"/>
        <w:jc w:val="both"/>
        <w:rPr>
          <w:b/>
          <w:u w:val="single"/>
        </w:rPr>
      </w:pPr>
      <w:r w:rsidRPr="00205702">
        <w:rPr>
          <w:b/>
          <w:i/>
        </w:rPr>
        <w:tab/>
      </w:r>
      <w:r w:rsidR="0059592E" w:rsidRPr="00205702">
        <w:rPr>
          <w:b/>
          <w:i/>
        </w:rPr>
        <w:t xml:space="preserve">Following discussion, councillors agreed to “RECOMMEND to Full Council” </w:t>
      </w:r>
      <w:r w:rsidR="00904480" w:rsidRPr="00205702">
        <w:rPr>
          <w:b/>
          <w:i/>
        </w:rPr>
        <w:t xml:space="preserve">that </w:t>
      </w:r>
      <w:r w:rsidR="00474EBD">
        <w:rPr>
          <w:b/>
          <w:i/>
        </w:rPr>
        <w:t xml:space="preserve">BSTC </w:t>
      </w:r>
      <w:r w:rsidR="00AF771D">
        <w:rPr>
          <w:b/>
          <w:i/>
        </w:rPr>
        <w:t>purchase</w:t>
      </w:r>
      <w:r w:rsidR="00474EBD">
        <w:rPr>
          <w:b/>
          <w:i/>
        </w:rPr>
        <w:t xml:space="preserve"> a second-hand flatbed vehicle to replace the Astra Van up to a cost of £15,000 from the Replacement </w:t>
      </w:r>
      <w:r w:rsidR="00AF771D">
        <w:rPr>
          <w:b/>
          <w:i/>
        </w:rPr>
        <w:t>V</w:t>
      </w:r>
      <w:r w:rsidR="00474EBD">
        <w:rPr>
          <w:b/>
          <w:i/>
        </w:rPr>
        <w:t xml:space="preserve">ehicle Budget Reserve </w:t>
      </w:r>
      <w:r w:rsidR="00904480">
        <w:rPr>
          <w:b/>
          <w:i/>
        </w:rPr>
        <w:t>(N/C 30</w:t>
      </w:r>
      <w:r w:rsidR="00474EBD">
        <w:rPr>
          <w:b/>
          <w:i/>
        </w:rPr>
        <w:t>23</w:t>
      </w:r>
      <w:r w:rsidR="00904480">
        <w:rPr>
          <w:b/>
          <w:i/>
        </w:rPr>
        <w:t>).</w:t>
      </w:r>
    </w:p>
    <w:p w:rsidR="00205702" w:rsidRDefault="00205702" w:rsidP="0059592E">
      <w:pPr>
        <w:ind w:left="1440" w:hanging="1440"/>
        <w:jc w:val="both"/>
        <w:rPr>
          <w:b/>
          <w:u w:val="single"/>
        </w:rPr>
      </w:pPr>
    </w:p>
    <w:p w:rsidR="00BF2FA6" w:rsidRDefault="0059592E" w:rsidP="003F4142">
      <w:r w:rsidRPr="00A045F4">
        <w:tab/>
      </w:r>
      <w:r w:rsidRPr="00A045F4">
        <w:tab/>
      </w:r>
    </w:p>
    <w:p w:rsidR="00626ACC" w:rsidRPr="001E1553" w:rsidRDefault="00050C55" w:rsidP="00BF2FA6">
      <w:pPr>
        <w:ind w:left="720" w:firstLine="720"/>
        <w:rPr>
          <w:b/>
          <w:u w:val="single"/>
        </w:rPr>
      </w:pPr>
      <w:r>
        <w:rPr>
          <w:b/>
          <w:u w:val="single"/>
        </w:rPr>
        <w:t>Installation of a MUGA court at the Jubilee Centre (N/C to be decided)</w:t>
      </w:r>
    </w:p>
    <w:p w:rsidR="00626ACC" w:rsidRPr="004A1B82" w:rsidRDefault="00626ACC" w:rsidP="00626ACC">
      <w:pPr>
        <w:rPr>
          <w:sz w:val="16"/>
          <w:szCs w:val="16"/>
        </w:rPr>
      </w:pPr>
    </w:p>
    <w:p w:rsidR="00050C55" w:rsidRDefault="00050C55" w:rsidP="003F4142">
      <w:pPr>
        <w:ind w:left="1440"/>
        <w:jc w:val="both"/>
        <w:rPr>
          <w:rFonts w:eastAsia="Calibri"/>
          <w:lang w:eastAsia="en-US"/>
        </w:rPr>
      </w:pPr>
      <w:r>
        <w:rPr>
          <w:rFonts w:eastAsia="Calibri"/>
          <w:lang w:eastAsia="en-US"/>
        </w:rPr>
        <w:t xml:space="preserve">It would be beneficial to change one of the existing tennis courts at the Jubilee Centre into a multi-use games area (MUGA) which would provide basketball hoop and football goals. Whilst being available as a “free to access” facility for community use for basketball and football (with an external gated access) it would also continue to be accessible through the existing facility (with an internal gate) and could be </w:t>
      </w:r>
      <w:r w:rsidR="00624E17">
        <w:rPr>
          <w:rFonts w:eastAsia="Calibri"/>
          <w:lang w:eastAsia="en-US"/>
        </w:rPr>
        <w:t xml:space="preserve">exclusively </w:t>
      </w:r>
      <w:r>
        <w:rPr>
          <w:rFonts w:eastAsia="Calibri"/>
          <w:lang w:eastAsia="en-US"/>
        </w:rPr>
        <w:t>booked for netball and tennis.</w:t>
      </w:r>
      <w:r w:rsidR="00624E17">
        <w:rPr>
          <w:rFonts w:eastAsia="Calibri"/>
          <w:lang w:eastAsia="en-US"/>
        </w:rPr>
        <w:t xml:space="preserve"> There would be a need to install an internal dividing fence and gate and an external gate to the court. There may be external grant funding streams available for some of the work.</w:t>
      </w:r>
    </w:p>
    <w:p w:rsidR="00050C55" w:rsidRPr="001F1272" w:rsidRDefault="00050C55" w:rsidP="003F4142">
      <w:pPr>
        <w:ind w:left="1440"/>
        <w:jc w:val="both"/>
        <w:rPr>
          <w:rFonts w:eastAsia="Calibri"/>
          <w:sz w:val="16"/>
          <w:szCs w:val="16"/>
          <w:lang w:eastAsia="en-US"/>
        </w:rPr>
      </w:pPr>
    </w:p>
    <w:p w:rsidR="00C46F9B" w:rsidRPr="00C46F9B" w:rsidRDefault="00587E18" w:rsidP="00C46F9B">
      <w:pPr>
        <w:ind w:left="1440"/>
        <w:jc w:val="both"/>
        <w:rPr>
          <w:b/>
          <w:i/>
        </w:rPr>
      </w:pPr>
      <w:r w:rsidRPr="001E1553">
        <w:rPr>
          <w:b/>
          <w:i/>
        </w:rPr>
        <w:t xml:space="preserve">Following discussion, councillors agreed to “RECOMMEND to Full Council” that </w:t>
      </w:r>
      <w:r w:rsidR="00624E17">
        <w:rPr>
          <w:b/>
          <w:i/>
        </w:rPr>
        <w:t>quotes be obtained to carry out the installation of a MUGA court (and associated works) on one of the existing hardcourts at The Jubilee Centre</w:t>
      </w:r>
      <w:r w:rsidR="00C46F9B" w:rsidRPr="00C46F9B">
        <w:rPr>
          <w:b/>
          <w:i/>
        </w:rPr>
        <w:t xml:space="preserve">. </w:t>
      </w:r>
    </w:p>
    <w:p w:rsidR="000B26FC" w:rsidRPr="00127595" w:rsidRDefault="000B26FC" w:rsidP="00587E18">
      <w:pPr>
        <w:ind w:left="1440"/>
        <w:jc w:val="both"/>
        <w:rPr>
          <w:b/>
          <w:i/>
          <w:sz w:val="16"/>
          <w:szCs w:val="16"/>
        </w:rPr>
      </w:pPr>
    </w:p>
    <w:p w:rsidR="000B26FC" w:rsidRDefault="000B26FC" w:rsidP="00587E18">
      <w:pPr>
        <w:ind w:left="1440"/>
        <w:jc w:val="both"/>
        <w:rPr>
          <w:b/>
          <w:i/>
        </w:rPr>
      </w:pPr>
    </w:p>
    <w:p w:rsidR="00162885" w:rsidRDefault="00624E17" w:rsidP="00463F4C">
      <w:pPr>
        <w:ind w:left="1440"/>
        <w:jc w:val="both"/>
        <w:rPr>
          <w:b/>
          <w:u w:val="single"/>
        </w:rPr>
      </w:pPr>
      <w:bookmarkStart w:id="1" w:name="_Hlk492974229"/>
      <w:r>
        <w:rPr>
          <w:b/>
          <w:u w:val="single"/>
        </w:rPr>
        <w:t xml:space="preserve">Replacement of High Safety netting at Baileys Court Activity Centre to protect </w:t>
      </w:r>
      <w:bookmarkStart w:id="2" w:name="_Hlk492974199"/>
      <w:r>
        <w:rPr>
          <w:b/>
          <w:u w:val="single"/>
        </w:rPr>
        <w:t xml:space="preserve">car park and play area from cricket balls </w:t>
      </w:r>
      <w:r w:rsidR="00127595">
        <w:rPr>
          <w:b/>
          <w:u w:val="single"/>
        </w:rPr>
        <w:t>(N/C 90</w:t>
      </w:r>
      <w:r>
        <w:rPr>
          <w:b/>
          <w:u w:val="single"/>
        </w:rPr>
        <w:t>3</w:t>
      </w:r>
      <w:r w:rsidR="00127595">
        <w:rPr>
          <w:b/>
          <w:u w:val="single"/>
        </w:rPr>
        <w:t>2)</w:t>
      </w:r>
    </w:p>
    <w:bookmarkEnd w:id="2"/>
    <w:bookmarkEnd w:id="1"/>
    <w:p w:rsidR="00DF320D" w:rsidRPr="00BF2FA6" w:rsidRDefault="00DF320D" w:rsidP="00463F4C">
      <w:pPr>
        <w:ind w:left="1440"/>
        <w:jc w:val="both"/>
        <w:rPr>
          <w:sz w:val="16"/>
          <w:szCs w:val="16"/>
        </w:rPr>
      </w:pPr>
    </w:p>
    <w:p w:rsidR="001C0960" w:rsidRDefault="00BF2FA6" w:rsidP="00BF2FA6">
      <w:pPr>
        <w:ind w:left="1418"/>
        <w:jc w:val="both"/>
        <w:rPr>
          <w:rFonts w:eastAsiaTheme="minorHAnsi"/>
          <w:color w:val="000000"/>
        </w:rPr>
      </w:pPr>
      <w:r w:rsidRPr="00BF2FA6">
        <w:rPr>
          <w:rFonts w:eastAsiaTheme="minorHAnsi"/>
          <w:color w:val="000000"/>
        </w:rPr>
        <w:t xml:space="preserve">The </w:t>
      </w:r>
      <w:r w:rsidR="00624E17">
        <w:rPr>
          <w:rFonts w:eastAsiaTheme="minorHAnsi"/>
          <w:color w:val="000000"/>
        </w:rPr>
        <w:t xml:space="preserve">high safety netting at </w:t>
      </w:r>
      <w:r w:rsidR="001C0960">
        <w:rPr>
          <w:rFonts w:eastAsiaTheme="minorHAnsi"/>
          <w:color w:val="000000"/>
        </w:rPr>
        <w:t>B</w:t>
      </w:r>
      <w:r w:rsidR="00624E17">
        <w:rPr>
          <w:rFonts w:eastAsiaTheme="minorHAnsi"/>
          <w:color w:val="000000"/>
        </w:rPr>
        <w:t xml:space="preserve">aileys </w:t>
      </w:r>
      <w:r w:rsidR="001C0960">
        <w:rPr>
          <w:rFonts w:eastAsiaTheme="minorHAnsi"/>
          <w:color w:val="000000"/>
        </w:rPr>
        <w:t>Court</w:t>
      </w:r>
      <w:r w:rsidR="00624E17">
        <w:rPr>
          <w:rFonts w:eastAsiaTheme="minorHAnsi"/>
          <w:color w:val="000000"/>
        </w:rPr>
        <w:t xml:space="preserve"> Activity Centre urgently needs replacing as it </w:t>
      </w:r>
      <w:r w:rsidR="001C0960">
        <w:rPr>
          <w:rFonts w:eastAsiaTheme="minorHAnsi"/>
          <w:color w:val="000000"/>
        </w:rPr>
        <w:t>is damaged in places. An indicative cost to replace is in the region of £2,000.</w:t>
      </w:r>
    </w:p>
    <w:p w:rsidR="001C0960" w:rsidRPr="001F1272" w:rsidRDefault="001C0960" w:rsidP="00BF2FA6">
      <w:pPr>
        <w:ind w:left="1418"/>
        <w:jc w:val="both"/>
        <w:rPr>
          <w:rFonts w:eastAsiaTheme="minorHAnsi"/>
          <w:color w:val="000000"/>
          <w:sz w:val="16"/>
          <w:szCs w:val="16"/>
        </w:rPr>
      </w:pPr>
    </w:p>
    <w:p w:rsidR="001C0960" w:rsidRDefault="00F47F5F" w:rsidP="00F47F5F">
      <w:pPr>
        <w:ind w:left="1440" w:hanging="1440"/>
        <w:jc w:val="both"/>
        <w:rPr>
          <w:b/>
          <w:i/>
        </w:rPr>
      </w:pPr>
      <w:r w:rsidRPr="00F47F5F">
        <w:rPr>
          <w:b/>
          <w:i/>
        </w:rPr>
        <w:tab/>
        <w:t xml:space="preserve">Following discussion, councillors agreed to “RECOMMEND to Full Council” that </w:t>
      </w:r>
      <w:r w:rsidR="00127595">
        <w:rPr>
          <w:b/>
          <w:i/>
        </w:rPr>
        <w:t xml:space="preserve">BSTC </w:t>
      </w:r>
      <w:r w:rsidR="001C0960">
        <w:rPr>
          <w:b/>
          <w:i/>
        </w:rPr>
        <w:t xml:space="preserve">obtains quotes to replace the existing high safety netting at Baileys Court Activity Centre (Baileys Court Activity Centre equipment budget N/C 9032). BSTC to ask Bradley Stoke Cricket Club if they will offer a contribution towards the cost of the work.  </w:t>
      </w:r>
    </w:p>
    <w:p w:rsidR="00127595" w:rsidRDefault="00127595" w:rsidP="00F47F5F">
      <w:pPr>
        <w:ind w:left="1440" w:hanging="1440"/>
        <w:jc w:val="both"/>
        <w:rPr>
          <w:b/>
          <w:i/>
        </w:rPr>
      </w:pPr>
    </w:p>
    <w:p w:rsidR="009708CA" w:rsidRDefault="009708CA" w:rsidP="00F47F5F">
      <w:pPr>
        <w:ind w:left="1440" w:hanging="1440"/>
        <w:jc w:val="both"/>
        <w:rPr>
          <w:b/>
          <w:i/>
        </w:rPr>
      </w:pPr>
    </w:p>
    <w:p w:rsidR="009C679F" w:rsidRPr="001E1553" w:rsidRDefault="00AD08FC" w:rsidP="009C679F">
      <w:pPr>
        <w:ind w:left="1440"/>
        <w:jc w:val="both"/>
        <w:rPr>
          <w:b/>
          <w:u w:val="single"/>
        </w:rPr>
      </w:pPr>
      <w:r>
        <w:rPr>
          <w:b/>
          <w:u w:val="single"/>
        </w:rPr>
        <w:t>Beautification</w:t>
      </w:r>
      <w:r w:rsidR="001F1272">
        <w:rPr>
          <w:b/>
          <w:u w:val="single"/>
        </w:rPr>
        <w:t xml:space="preserve"> of Bradley Stoke with flowers &amp; planting (N/C - </w:t>
      </w:r>
      <w:r>
        <w:rPr>
          <w:b/>
          <w:u w:val="single"/>
        </w:rPr>
        <w:t>V</w:t>
      </w:r>
      <w:r w:rsidR="001F1272">
        <w:rPr>
          <w:b/>
          <w:u w:val="single"/>
        </w:rPr>
        <w:t>arious)</w:t>
      </w:r>
    </w:p>
    <w:p w:rsidR="009C679F" w:rsidRPr="00E82BFE" w:rsidRDefault="00DE5EE2" w:rsidP="009C679F">
      <w:pPr>
        <w:rPr>
          <w:sz w:val="16"/>
          <w:szCs w:val="16"/>
        </w:rPr>
      </w:pPr>
      <w:r>
        <w:rPr>
          <w:sz w:val="16"/>
          <w:szCs w:val="16"/>
        </w:rPr>
        <w:tab/>
      </w:r>
      <w:r>
        <w:rPr>
          <w:sz w:val="16"/>
          <w:szCs w:val="16"/>
        </w:rPr>
        <w:tab/>
      </w:r>
    </w:p>
    <w:p w:rsidR="00AD08FC" w:rsidRDefault="00AD08FC" w:rsidP="00DE5EE2">
      <w:pPr>
        <w:ind w:left="1418"/>
        <w:jc w:val="both"/>
      </w:pPr>
      <w:r>
        <w:t>There are areas of Bradley Stoke that would benefit from enhanced tree planting and flowers. SGC have indicated that licenses would need to be obtained before areas could be planted.</w:t>
      </w:r>
    </w:p>
    <w:p w:rsidR="00AD08FC" w:rsidRPr="0093248E" w:rsidRDefault="00AD08FC" w:rsidP="00DE5EE2">
      <w:pPr>
        <w:ind w:left="1418"/>
        <w:jc w:val="both"/>
        <w:rPr>
          <w:sz w:val="16"/>
          <w:szCs w:val="16"/>
        </w:rPr>
      </w:pPr>
    </w:p>
    <w:p w:rsidR="00AD08FC" w:rsidRDefault="000D005B" w:rsidP="000D005B">
      <w:pPr>
        <w:ind w:left="1440"/>
        <w:jc w:val="both"/>
        <w:rPr>
          <w:b/>
          <w:i/>
        </w:rPr>
      </w:pPr>
      <w:r w:rsidRPr="00F47F5F">
        <w:rPr>
          <w:b/>
          <w:i/>
        </w:rPr>
        <w:t xml:space="preserve">Following discussion, councillors agreed to “RECOMMEND to Full Council” that </w:t>
      </w:r>
      <w:r>
        <w:rPr>
          <w:b/>
          <w:i/>
        </w:rPr>
        <w:t xml:space="preserve">BSTC </w:t>
      </w:r>
      <w:r w:rsidR="00AD08FC">
        <w:rPr>
          <w:b/>
          <w:i/>
        </w:rPr>
        <w:t>speak to SGC to ascertain the cost of licenses and any relevant restrictions to work undertaken to plant trees and flowers in Bradley Stoke.</w:t>
      </w:r>
    </w:p>
    <w:p w:rsidR="00AD08FC" w:rsidRDefault="00AD08FC" w:rsidP="000D005B">
      <w:pPr>
        <w:ind w:left="1440"/>
        <w:jc w:val="both"/>
        <w:rPr>
          <w:b/>
          <w:i/>
        </w:rPr>
      </w:pPr>
    </w:p>
    <w:p w:rsidR="002255C6" w:rsidRDefault="002255C6" w:rsidP="00F47F5F">
      <w:pPr>
        <w:ind w:left="1440" w:hanging="1440"/>
        <w:jc w:val="both"/>
        <w:rPr>
          <w:b/>
          <w:i/>
        </w:rPr>
      </w:pPr>
    </w:p>
    <w:p w:rsidR="002255C6" w:rsidRPr="001E1553" w:rsidRDefault="00F17720" w:rsidP="002255C6">
      <w:pPr>
        <w:ind w:left="1440"/>
        <w:jc w:val="both"/>
        <w:rPr>
          <w:b/>
          <w:u w:val="single"/>
        </w:rPr>
      </w:pPr>
      <w:r>
        <w:rPr>
          <w:b/>
          <w:u w:val="single"/>
        </w:rPr>
        <w:t>Installation of centre line road markings and arrows in Jubilee Centre car park (N/C 6046)</w:t>
      </w:r>
    </w:p>
    <w:p w:rsidR="002255C6" w:rsidRPr="00E82BFE" w:rsidRDefault="002255C6" w:rsidP="002255C6">
      <w:pPr>
        <w:rPr>
          <w:sz w:val="16"/>
          <w:szCs w:val="16"/>
        </w:rPr>
      </w:pPr>
    </w:p>
    <w:p w:rsidR="002255C6" w:rsidRDefault="00F17720" w:rsidP="002255C6">
      <w:pPr>
        <w:ind w:left="1440"/>
        <w:jc w:val="both"/>
      </w:pPr>
      <w:r>
        <w:t>Due to the ongoing problems with vehicle movements in, out and through the Jubilee Centre car park (plus related scooter/moped issues), it is felt that line markings down the centre of the car park plus arrows will assist in the passage of traffic. Indicative costings are in the region of £500.</w:t>
      </w:r>
      <w:r w:rsidR="002255C6">
        <w:t xml:space="preserve"> </w:t>
      </w:r>
    </w:p>
    <w:p w:rsidR="002255C6" w:rsidRPr="00E82BFE" w:rsidRDefault="002255C6" w:rsidP="002255C6">
      <w:pPr>
        <w:ind w:left="1440"/>
        <w:jc w:val="both"/>
        <w:rPr>
          <w:sz w:val="16"/>
          <w:szCs w:val="16"/>
        </w:rPr>
      </w:pPr>
    </w:p>
    <w:p w:rsidR="00F17720" w:rsidRDefault="002255C6" w:rsidP="002255C6">
      <w:pPr>
        <w:ind w:left="1440"/>
        <w:jc w:val="both"/>
        <w:rPr>
          <w:b/>
          <w:i/>
        </w:rPr>
      </w:pPr>
      <w:r w:rsidRPr="001E1553">
        <w:rPr>
          <w:b/>
          <w:i/>
        </w:rPr>
        <w:t xml:space="preserve">Following discussion, councillors agreed to “RECOMMEND to Full Council” that </w:t>
      </w:r>
      <w:r w:rsidR="00AB4EF1">
        <w:rPr>
          <w:b/>
          <w:i/>
        </w:rPr>
        <w:t xml:space="preserve">BSTC </w:t>
      </w:r>
      <w:r w:rsidR="00F17720">
        <w:rPr>
          <w:b/>
          <w:i/>
        </w:rPr>
        <w:t xml:space="preserve">install white lines and arrows in the Jubilee Centre car park using the Jubilee Centre Grounds Maintenance </w:t>
      </w:r>
      <w:r w:rsidR="00AB4EF1">
        <w:rPr>
          <w:b/>
          <w:i/>
        </w:rPr>
        <w:t xml:space="preserve">budget (N/C </w:t>
      </w:r>
      <w:r w:rsidR="00F17720">
        <w:rPr>
          <w:b/>
          <w:i/>
        </w:rPr>
        <w:t>6046</w:t>
      </w:r>
      <w:r w:rsidR="00AB4EF1">
        <w:rPr>
          <w:b/>
          <w:i/>
        </w:rPr>
        <w:t>)</w:t>
      </w:r>
      <w:r w:rsidR="00F17720">
        <w:rPr>
          <w:b/>
          <w:i/>
        </w:rPr>
        <w:t>.</w:t>
      </w:r>
    </w:p>
    <w:p w:rsidR="00F17720" w:rsidRDefault="00F17720" w:rsidP="002255C6">
      <w:pPr>
        <w:ind w:left="1440"/>
        <w:jc w:val="both"/>
        <w:rPr>
          <w:b/>
          <w:i/>
        </w:rPr>
      </w:pPr>
    </w:p>
    <w:p w:rsidR="002B67AD" w:rsidRDefault="002B67AD" w:rsidP="00F47F5F">
      <w:pPr>
        <w:ind w:left="1440" w:hanging="1440"/>
        <w:jc w:val="both"/>
        <w:rPr>
          <w:b/>
          <w:i/>
        </w:rPr>
      </w:pPr>
    </w:p>
    <w:p w:rsidR="00D401BD" w:rsidRDefault="00D401BD" w:rsidP="008006DD">
      <w:pPr>
        <w:ind w:left="1440"/>
        <w:jc w:val="both"/>
        <w:rPr>
          <w:b/>
          <w:u w:val="single"/>
        </w:rPr>
      </w:pPr>
      <w:r>
        <w:rPr>
          <w:b/>
          <w:u w:val="single"/>
        </w:rPr>
        <w:t>Review of Current Levels of Youth Budgets (N/C 3079+3080+3081+5500) – excluding external Positive Activities Funding</w:t>
      </w:r>
    </w:p>
    <w:p w:rsidR="008006DD" w:rsidRPr="005A6A93" w:rsidRDefault="008006DD" w:rsidP="008006DD">
      <w:pPr>
        <w:ind w:left="1440"/>
        <w:jc w:val="both"/>
        <w:rPr>
          <w:b/>
          <w:sz w:val="16"/>
          <w:szCs w:val="16"/>
          <w:u w:val="single"/>
        </w:rPr>
      </w:pP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Since 2013 BSTC has been very successful in attracting a range of external funding for children and young people focussed community projects</w:t>
      </w:r>
      <w:r>
        <w:rPr>
          <w:rFonts w:ascii="Times New Roman" w:hAnsi="Times New Roman"/>
          <w:sz w:val="24"/>
          <w:szCs w:val="24"/>
        </w:rPr>
        <w:t xml:space="preserve"> and has recently been asked by Central Government office to submit a case study on how the youth provision works in Bradley Stoke.</w:t>
      </w: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External fundraising has included approximately £200,000 of capital monies and approximately £90,000 of revenue and project funding plus further additional significant in-kind and sponsorship support, including volunteering time and donations (e.g. prizes, materials, discounts).</w:t>
      </w: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In addition, due to the above success raising capital monies, there has been a certain staff focus on infrastructure development. This obviously includes the research, development and implementation of our new and highly regarded skatepark. It also involves the further development of the enhanced building at the skatepark, which is currently concluding the planning process and ready for imminent implementation as an important weather proof associational space.</w:t>
      </w: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 xml:space="preserve">However, it is important to note that the infrastructure developments have been rooted in a response to expressed needs of young people and implemented with their active involvement. </w:t>
      </w: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The consequence of the above fundraising success and certain focus on infrastructure development has therefore meant, in the short term, less demand on the BSTC core Youth budget and the opportunity to roll underspend into a reserve for future use.</w:t>
      </w:r>
    </w:p>
    <w:p w:rsidR="00D401BD" w:rsidRPr="00D401BD" w:rsidRDefault="00D401BD" w:rsidP="00D401BD">
      <w:pPr>
        <w:pStyle w:val="ListParagraph"/>
        <w:numPr>
          <w:ilvl w:val="0"/>
          <w:numId w:val="21"/>
        </w:numPr>
        <w:spacing w:after="0" w:line="240" w:lineRule="auto"/>
        <w:ind w:left="2127" w:hanging="567"/>
        <w:jc w:val="both"/>
        <w:rPr>
          <w:rFonts w:ascii="Times New Roman" w:hAnsi="Times New Roman"/>
          <w:sz w:val="24"/>
          <w:szCs w:val="24"/>
        </w:rPr>
      </w:pPr>
      <w:r w:rsidRPr="00D401BD">
        <w:rPr>
          <w:rFonts w:ascii="Times New Roman" w:hAnsi="Times New Roman"/>
          <w:sz w:val="24"/>
          <w:szCs w:val="24"/>
        </w:rPr>
        <w:t>However, the current and future situation, covered by the five-year plan, has four key elements for consideration:</w:t>
      </w:r>
    </w:p>
    <w:p w:rsidR="00D401BD" w:rsidRPr="00D401BD" w:rsidRDefault="00D401BD" w:rsidP="00D401BD">
      <w:pPr>
        <w:pStyle w:val="ListParagraph"/>
        <w:numPr>
          <w:ilvl w:val="0"/>
          <w:numId w:val="22"/>
        </w:numPr>
        <w:spacing w:after="0" w:line="240" w:lineRule="auto"/>
        <w:ind w:left="2694" w:hanging="567"/>
        <w:jc w:val="both"/>
        <w:rPr>
          <w:rFonts w:ascii="Times New Roman" w:hAnsi="Times New Roman"/>
          <w:sz w:val="24"/>
          <w:szCs w:val="24"/>
        </w:rPr>
      </w:pPr>
      <w:r w:rsidRPr="00D401BD">
        <w:rPr>
          <w:rFonts w:ascii="Times New Roman" w:hAnsi="Times New Roman"/>
          <w:sz w:val="24"/>
          <w:szCs w:val="24"/>
        </w:rPr>
        <w:t>When the additional buildings are installed later this year/ early next year, that will be the end of a phase that has including infrastructure development. BSTC will have created some important associational spaces for future planned project implementation.</w:t>
      </w:r>
    </w:p>
    <w:p w:rsidR="00D401BD" w:rsidRPr="00D401BD" w:rsidRDefault="00D401BD" w:rsidP="00D401BD">
      <w:pPr>
        <w:pStyle w:val="ListParagraph"/>
        <w:numPr>
          <w:ilvl w:val="0"/>
          <w:numId w:val="22"/>
        </w:numPr>
        <w:spacing w:after="0" w:line="240" w:lineRule="auto"/>
        <w:ind w:left="2694" w:hanging="567"/>
        <w:jc w:val="both"/>
        <w:rPr>
          <w:rFonts w:ascii="Times New Roman" w:hAnsi="Times New Roman"/>
          <w:sz w:val="24"/>
          <w:szCs w:val="24"/>
        </w:rPr>
      </w:pPr>
      <w:r w:rsidRPr="00D401BD">
        <w:rPr>
          <w:rFonts w:ascii="Times New Roman" w:hAnsi="Times New Roman"/>
          <w:sz w:val="24"/>
          <w:szCs w:val="24"/>
        </w:rPr>
        <w:t xml:space="preserve">The next important stage is the recruitment of youth work staff and the need to agree sufficient staffing to fully utilise the facilities and deliver the various aspects of the current </w:t>
      </w:r>
      <w:r w:rsidR="0093248E" w:rsidRPr="00D401BD">
        <w:rPr>
          <w:rFonts w:ascii="Times New Roman" w:hAnsi="Times New Roman"/>
          <w:sz w:val="24"/>
          <w:szCs w:val="24"/>
        </w:rPr>
        <w:t>5-year</w:t>
      </w:r>
      <w:r w:rsidRPr="00D401BD">
        <w:rPr>
          <w:rFonts w:ascii="Times New Roman" w:hAnsi="Times New Roman"/>
          <w:sz w:val="24"/>
          <w:szCs w:val="24"/>
        </w:rPr>
        <w:t xml:space="preserve"> plan. </w:t>
      </w:r>
    </w:p>
    <w:p w:rsidR="00D401BD" w:rsidRPr="00D401BD" w:rsidRDefault="00D401BD" w:rsidP="00D401BD">
      <w:pPr>
        <w:pStyle w:val="ListParagraph"/>
        <w:numPr>
          <w:ilvl w:val="0"/>
          <w:numId w:val="22"/>
        </w:numPr>
        <w:spacing w:after="0" w:line="240" w:lineRule="auto"/>
        <w:ind w:left="2694" w:hanging="567"/>
        <w:jc w:val="both"/>
        <w:rPr>
          <w:rFonts w:ascii="Times New Roman" w:hAnsi="Times New Roman"/>
          <w:sz w:val="24"/>
          <w:szCs w:val="24"/>
        </w:rPr>
      </w:pPr>
      <w:r w:rsidRPr="00D401BD">
        <w:rPr>
          <w:rFonts w:ascii="Times New Roman" w:hAnsi="Times New Roman"/>
          <w:sz w:val="24"/>
          <w:szCs w:val="24"/>
        </w:rPr>
        <w:t xml:space="preserve">It is important to note that the current budgetary constraints on South Gloucestershire Council grants and other funding bodies, means that it </w:t>
      </w:r>
      <w:r w:rsidRPr="00D401BD">
        <w:rPr>
          <w:rFonts w:ascii="Times New Roman" w:hAnsi="Times New Roman"/>
          <w:sz w:val="24"/>
          <w:szCs w:val="24"/>
        </w:rPr>
        <w:lastRenderedPageBreak/>
        <w:t>is/will be increasingly difficult to draw drawn significant external funding at the levels we have done in the last few years.</w:t>
      </w:r>
    </w:p>
    <w:p w:rsidR="00D401BD" w:rsidRDefault="00D401BD" w:rsidP="00D401BD">
      <w:pPr>
        <w:pStyle w:val="ListParagraph"/>
        <w:numPr>
          <w:ilvl w:val="0"/>
          <w:numId w:val="22"/>
        </w:numPr>
        <w:spacing w:after="0" w:line="240" w:lineRule="auto"/>
        <w:ind w:left="2694" w:hanging="567"/>
        <w:jc w:val="both"/>
        <w:rPr>
          <w:rFonts w:ascii="Times New Roman" w:hAnsi="Times New Roman"/>
          <w:sz w:val="24"/>
          <w:szCs w:val="24"/>
        </w:rPr>
      </w:pPr>
      <w:r w:rsidRPr="00D401BD">
        <w:rPr>
          <w:rFonts w:ascii="Times New Roman" w:hAnsi="Times New Roman"/>
          <w:sz w:val="24"/>
          <w:szCs w:val="24"/>
        </w:rPr>
        <w:t xml:space="preserve">Therefore, the projected necessary staffing and project costs will require both the current projected core Youth budget and some potential annual draw down from Youth reserves (see </w:t>
      </w:r>
      <w:r w:rsidR="0093248E">
        <w:rPr>
          <w:rFonts w:ascii="Times New Roman" w:hAnsi="Times New Roman"/>
          <w:sz w:val="24"/>
          <w:szCs w:val="24"/>
        </w:rPr>
        <w:t>Appendix B</w:t>
      </w:r>
      <w:r w:rsidRPr="00D401BD">
        <w:rPr>
          <w:rFonts w:ascii="Times New Roman" w:hAnsi="Times New Roman"/>
          <w:sz w:val="24"/>
          <w:szCs w:val="24"/>
        </w:rPr>
        <w:t>), plus whatever external funding we can attract.</w:t>
      </w:r>
    </w:p>
    <w:p w:rsidR="000D005B" w:rsidRPr="000D005B" w:rsidRDefault="000D005B" w:rsidP="000D005B">
      <w:pPr>
        <w:ind w:left="1440" w:hanging="1440"/>
        <w:jc w:val="both"/>
        <w:rPr>
          <w:b/>
          <w:i/>
          <w:sz w:val="16"/>
          <w:szCs w:val="16"/>
        </w:rPr>
      </w:pPr>
    </w:p>
    <w:p w:rsidR="000D005B" w:rsidRPr="000D005B" w:rsidRDefault="000D005B" w:rsidP="000D005B">
      <w:pPr>
        <w:ind w:left="1440"/>
        <w:jc w:val="both"/>
        <w:rPr>
          <w:b/>
          <w:i/>
        </w:rPr>
      </w:pPr>
      <w:r w:rsidRPr="001E1553">
        <w:rPr>
          <w:b/>
          <w:i/>
        </w:rPr>
        <w:t xml:space="preserve">Following discussion, </w:t>
      </w:r>
      <w:r w:rsidRPr="000D005B">
        <w:rPr>
          <w:b/>
          <w:i/>
        </w:rPr>
        <w:t xml:space="preserve">Councillors agreed to “RECOMMEND to Full Council” that </w:t>
      </w:r>
      <w:r w:rsidR="001174BE">
        <w:rPr>
          <w:b/>
          <w:i/>
        </w:rPr>
        <w:t>the current youth budgets remain as they are and are revisited at Strategic Planning in September 2018</w:t>
      </w:r>
      <w:r w:rsidRPr="000D005B">
        <w:rPr>
          <w:b/>
          <w:i/>
        </w:rPr>
        <w:t>.</w:t>
      </w:r>
    </w:p>
    <w:p w:rsidR="00DE5EE2" w:rsidRDefault="00DE5EE2" w:rsidP="00D630F1">
      <w:pPr>
        <w:ind w:left="1440" w:hanging="1440"/>
        <w:jc w:val="both"/>
        <w:rPr>
          <w:b/>
          <w:i/>
        </w:rPr>
      </w:pPr>
    </w:p>
    <w:p w:rsidR="00DE5EE2" w:rsidRPr="008B37EC" w:rsidRDefault="00DE5EE2" w:rsidP="0076280E">
      <w:pPr>
        <w:ind w:left="1440"/>
        <w:jc w:val="both"/>
        <w:rPr>
          <w:b/>
          <w:u w:val="single"/>
        </w:rPr>
      </w:pPr>
    </w:p>
    <w:p w:rsidR="0076280E" w:rsidRPr="005A6A93" w:rsidRDefault="00F2572E" w:rsidP="0076280E">
      <w:pPr>
        <w:ind w:left="1440"/>
        <w:jc w:val="both"/>
        <w:rPr>
          <w:b/>
          <w:u w:val="single"/>
        </w:rPr>
      </w:pPr>
      <w:r>
        <w:rPr>
          <w:b/>
          <w:u w:val="single"/>
        </w:rPr>
        <w:t>P</w:t>
      </w:r>
      <w:r w:rsidR="008B37EC">
        <w:rPr>
          <w:b/>
          <w:u w:val="single"/>
        </w:rPr>
        <w:t>rovision of Activities for Older Members of the Community</w:t>
      </w:r>
      <w:r w:rsidR="00BD55A3">
        <w:rPr>
          <w:b/>
          <w:u w:val="single"/>
        </w:rPr>
        <w:t xml:space="preserve"> (N/C 5015)</w:t>
      </w:r>
    </w:p>
    <w:p w:rsidR="0076280E" w:rsidRPr="005A6A93" w:rsidRDefault="0076280E" w:rsidP="0076280E">
      <w:pPr>
        <w:ind w:left="1440"/>
        <w:jc w:val="both"/>
        <w:rPr>
          <w:b/>
          <w:sz w:val="16"/>
          <w:szCs w:val="16"/>
          <w:u w:val="single"/>
        </w:rPr>
      </w:pPr>
    </w:p>
    <w:p w:rsidR="00BD55A3" w:rsidRDefault="00BD55A3" w:rsidP="00A4219F">
      <w:pPr>
        <w:ind w:left="1440"/>
        <w:jc w:val="both"/>
      </w:pPr>
      <w:r>
        <w:t xml:space="preserve">There are </w:t>
      </w:r>
      <w:proofErr w:type="gramStart"/>
      <w:r>
        <w:t>a number of</w:t>
      </w:r>
      <w:proofErr w:type="gramEnd"/>
      <w:r>
        <w:t xml:space="preserve"> different activities for older members of the community to take part in, but there is a need to get the message out to community groups that BSTC have funding streams available for different projects – discussion on an advert to be broadcast on Bradley Stoke Radio to publicise this. </w:t>
      </w:r>
    </w:p>
    <w:p w:rsidR="00BD55A3" w:rsidRDefault="00BD55A3" w:rsidP="00A4219F">
      <w:pPr>
        <w:ind w:left="1440"/>
        <w:jc w:val="both"/>
      </w:pPr>
    </w:p>
    <w:p w:rsidR="00BD55A3" w:rsidRDefault="00EE2E29" w:rsidP="00A4219F">
      <w:pPr>
        <w:ind w:left="1440"/>
        <w:jc w:val="both"/>
      </w:pPr>
      <w:r>
        <w:t xml:space="preserve">It was also discussed about </w:t>
      </w:r>
      <w:r w:rsidR="00BD55A3">
        <w:t xml:space="preserve">whether there </w:t>
      </w:r>
      <w:r>
        <w:t xml:space="preserve">would be </w:t>
      </w:r>
      <w:r w:rsidR="00BD55A3">
        <w:t xml:space="preserve">any interest in an afternoon tea party/socialising event to be organised to reach groups of older members of the community who may be socially isolated and do not attend the mainstream events/clubs/groups.  </w:t>
      </w:r>
    </w:p>
    <w:p w:rsidR="00BD55A3" w:rsidRDefault="00BD55A3" w:rsidP="00A4219F">
      <w:pPr>
        <w:ind w:left="1440"/>
        <w:jc w:val="both"/>
      </w:pPr>
    </w:p>
    <w:p w:rsidR="0076280E" w:rsidRDefault="0076280E" w:rsidP="0076280E">
      <w:pPr>
        <w:ind w:left="1440" w:hanging="1440"/>
        <w:jc w:val="both"/>
        <w:rPr>
          <w:b/>
          <w:i/>
        </w:rPr>
      </w:pPr>
      <w:r>
        <w:tab/>
      </w:r>
      <w:r w:rsidRPr="00F47F5F">
        <w:rPr>
          <w:b/>
          <w:i/>
        </w:rPr>
        <w:t xml:space="preserve">Following discussion, councillors agreed to “RECOMMEND to Full Council” that </w:t>
      </w:r>
      <w:r>
        <w:rPr>
          <w:b/>
          <w:i/>
        </w:rPr>
        <w:t xml:space="preserve">BSTC </w:t>
      </w:r>
      <w:r w:rsidR="00A01B64">
        <w:rPr>
          <w:b/>
          <w:i/>
        </w:rPr>
        <w:t xml:space="preserve">use local media organisations and other avenues to both publicise the BSTC grant funding streams </w:t>
      </w:r>
      <w:proofErr w:type="gramStart"/>
      <w:r w:rsidR="00A01B64">
        <w:rPr>
          <w:b/>
          <w:i/>
        </w:rPr>
        <w:t>and also</w:t>
      </w:r>
      <w:proofErr w:type="gramEnd"/>
      <w:r w:rsidR="00A01B64">
        <w:rPr>
          <w:b/>
          <w:i/>
        </w:rPr>
        <w:t xml:space="preserve"> gauge support for an older person’s afternoon tea party/socialising event to be organised next year.</w:t>
      </w:r>
      <w:r w:rsidR="00F2572E">
        <w:rPr>
          <w:b/>
          <w:i/>
        </w:rPr>
        <w:t xml:space="preserve"> </w:t>
      </w:r>
    </w:p>
    <w:p w:rsidR="0076280E" w:rsidRDefault="0076280E" w:rsidP="008006DD"/>
    <w:p w:rsidR="0076280E" w:rsidRDefault="0076280E" w:rsidP="008006DD"/>
    <w:p w:rsidR="008006DD" w:rsidRDefault="00E82BFE" w:rsidP="008006DD">
      <w:r>
        <w:t xml:space="preserve">Other </w:t>
      </w:r>
      <w:r w:rsidR="0076280E">
        <w:t>a</w:t>
      </w:r>
      <w:r>
        <w:t>reas discussed, but no recommendations made</w:t>
      </w:r>
    </w:p>
    <w:p w:rsidR="00E82BFE" w:rsidRDefault="00E82BFE" w:rsidP="00872FF6">
      <w:pPr>
        <w:pStyle w:val="ListParagraph"/>
        <w:numPr>
          <w:ilvl w:val="0"/>
          <w:numId w:val="10"/>
        </w:numPr>
        <w:spacing w:after="0" w:line="240" w:lineRule="auto"/>
        <w:ind w:left="714" w:hanging="357"/>
        <w:rPr>
          <w:rFonts w:ascii="Times New Roman" w:hAnsi="Times New Roman"/>
          <w:sz w:val="24"/>
          <w:szCs w:val="24"/>
        </w:rPr>
      </w:pPr>
      <w:r w:rsidRPr="007D1042">
        <w:rPr>
          <w:rFonts w:ascii="Times New Roman" w:hAnsi="Times New Roman"/>
          <w:sz w:val="24"/>
          <w:szCs w:val="24"/>
        </w:rPr>
        <w:t xml:space="preserve">Possible </w:t>
      </w:r>
      <w:r w:rsidR="00524D46">
        <w:rPr>
          <w:rFonts w:ascii="Times New Roman" w:hAnsi="Times New Roman"/>
          <w:sz w:val="24"/>
          <w:szCs w:val="24"/>
        </w:rPr>
        <w:t>re-</w:t>
      </w:r>
      <w:r w:rsidR="009C4464">
        <w:rPr>
          <w:rFonts w:ascii="Times New Roman" w:hAnsi="Times New Roman"/>
          <w:sz w:val="24"/>
          <w:szCs w:val="24"/>
        </w:rPr>
        <w:t>introduction</w:t>
      </w:r>
      <w:r w:rsidR="00524D46">
        <w:rPr>
          <w:rFonts w:ascii="Times New Roman" w:hAnsi="Times New Roman"/>
          <w:sz w:val="24"/>
          <w:szCs w:val="24"/>
        </w:rPr>
        <w:t xml:space="preserve"> of quarterly printed and delivered BSTC newsletters</w:t>
      </w:r>
    </w:p>
    <w:p w:rsidR="007A2AD1" w:rsidRDefault="007A2AD1" w:rsidP="00872FF6">
      <w:pPr>
        <w:pStyle w:val="ListParagraph"/>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Heightening profile of Bradley Stoke</w:t>
      </w:r>
    </w:p>
    <w:p w:rsidR="00524D46" w:rsidRDefault="007A2AD1" w:rsidP="00872FF6">
      <w:pPr>
        <w:pStyle w:val="ListParagraph"/>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Rewards for achievements in schools</w:t>
      </w:r>
    </w:p>
    <w:p w:rsidR="007A2AD1" w:rsidRPr="007D1042" w:rsidRDefault="007A2AD1" w:rsidP="00872FF6">
      <w:pPr>
        <w:pStyle w:val="ListParagraph"/>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Organisation of extra community events</w:t>
      </w:r>
    </w:p>
    <w:p w:rsidR="00E82BFE" w:rsidRDefault="00E82BFE" w:rsidP="008006DD">
      <w:r>
        <w:t xml:space="preserve"> </w:t>
      </w:r>
    </w:p>
    <w:p w:rsidR="0047380A" w:rsidRDefault="0047380A" w:rsidP="009714A3">
      <w:pPr>
        <w:jc w:val="center"/>
        <w:outlineLvl w:val="0"/>
        <w:rPr>
          <w:b/>
          <w:sz w:val="36"/>
          <w:szCs w:val="36"/>
        </w:rPr>
      </w:pPr>
    </w:p>
    <w:p w:rsidR="0047380A" w:rsidRDefault="0047380A" w:rsidP="009714A3">
      <w:pPr>
        <w:jc w:val="center"/>
        <w:outlineLvl w:val="0"/>
        <w:rPr>
          <w:b/>
          <w:sz w:val="16"/>
          <w:szCs w:val="16"/>
        </w:rPr>
      </w:pPr>
    </w:p>
    <w:p w:rsidR="00AE5135" w:rsidRDefault="00AE5135" w:rsidP="009714A3">
      <w:pPr>
        <w:jc w:val="center"/>
        <w:outlineLvl w:val="0"/>
        <w:rPr>
          <w:b/>
          <w:sz w:val="16"/>
          <w:szCs w:val="16"/>
        </w:rPr>
      </w:pPr>
    </w:p>
    <w:p w:rsidR="00AE5135" w:rsidRDefault="00AE5135" w:rsidP="009714A3">
      <w:pPr>
        <w:jc w:val="center"/>
        <w:outlineLvl w:val="0"/>
        <w:rPr>
          <w:b/>
          <w:sz w:val="16"/>
          <w:szCs w:val="16"/>
        </w:rPr>
      </w:pPr>
    </w:p>
    <w:p w:rsidR="00AE5135" w:rsidRDefault="00AE5135" w:rsidP="009714A3">
      <w:pPr>
        <w:jc w:val="center"/>
        <w:outlineLvl w:val="0"/>
        <w:rPr>
          <w:b/>
          <w:sz w:val="16"/>
          <w:szCs w:val="16"/>
        </w:rPr>
      </w:pPr>
    </w:p>
    <w:p w:rsidR="00AE5135" w:rsidRDefault="00AE5135"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A01B64" w:rsidRDefault="00A01B64" w:rsidP="009714A3">
      <w:pPr>
        <w:jc w:val="center"/>
        <w:outlineLvl w:val="0"/>
        <w:rPr>
          <w:b/>
          <w:sz w:val="16"/>
          <w:szCs w:val="16"/>
        </w:rPr>
      </w:pPr>
    </w:p>
    <w:p w:rsidR="001F1272" w:rsidRPr="001F1272" w:rsidRDefault="001F1272" w:rsidP="009714A3">
      <w:pPr>
        <w:jc w:val="center"/>
        <w:outlineLvl w:val="0"/>
        <w:rPr>
          <w:b/>
          <w:sz w:val="16"/>
          <w:szCs w:val="16"/>
        </w:rPr>
      </w:pPr>
    </w:p>
    <w:p w:rsidR="009714A3" w:rsidRDefault="009714A3" w:rsidP="009714A3">
      <w:pPr>
        <w:jc w:val="center"/>
        <w:outlineLvl w:val="0"/>
        <w:rPr>
          <w:b/>
          <w:sz w:val="36"/>
          <w:szCs w:val="36"/>
        </w:rPr>
      </w:pPr>
      <w:r w:rsidRPr="004555B0">
        <w:rPr>
          <w:b/>
          <w:sz w:val="36"/>
          <w:szCs w:val="36"/>
        </w:rPr>
        <w:t>Bradley Stoke Town Council</w:t>
      </w:r>
    </w:p>
    <w:p w:rsidR="009714A3" w:rsidRDefault="009714A3" w:rsidP="009714A3">
      <w:pPr>
        <w:jc w:val="center"/>
        <w:rPr>
          <w:b/>
          <w:sz w:val="28"/>
          <w:szCs w:val="28"/>
        </w:rPr>
      </w:pPr>
    </w:p>
    <w:p w:rsidR="007667AF" w:rsidRPr="009714A3" w:rsidRDefault="007667AF" w:rsidP="009714A3">
      <w:pPr>
        <w:jc w:val="center"/>
        <w:rPr>
          <w:b/>
          <w:sz w:val="28"/>
          <w:szCs w:val="28"/>
        </w:rPr>
      </w:pPr>
      <w:r w:rsidRPr="009714A3">
        <w:rPr>
          <w:b/>
          <w:sz w:val="28"/>
          <w:szCs w:val="28"/>
        </w:rPr>
        <w:t xml:space="preserve">SUMMARY OF RECOMMENDATIONS TO BE CONSIDERED BY FULL COUNCIL ON </w:t>
      </w:r>
      <w:r w:rsidR="00F70F54">
        <w:rPr>
          <w:b/>
          <w:sz w:val="28"/>
          <w:szCs w:val="28"/>
        </w:rPr>
        <w:t>2</w:t>
      </w:r>
      <w:r w:rsidR="00050C55">
        <w:rPr>
          <w:b/>
          <w:sz w:val="28"/>
          <w:szCs w:val="28"/>
        </w:rPr>
        <w:t>0</w:t>
      </w:r>
      <w:r w:rsidR="00050C55" w:rsidRPr="00050C55">
        <w:rPr>
          <w:b/>
          <w:sz w:val="28"/>
          <w:szCs w:val="28"/>
          <w:vertAlign w:val="superscript"/>
        </w:rPr>
        <w:t>th</w:t>
      </w:r>
      <w:r w:rsidR="00050C55">
        <w:rPr>
          <w:b/>
          <w:sz w:val="28"/>
          <w:szCs w:val="28"/>
        </w:rPr>
        <w:t xml:space="preserve"> </w:t>
      </w:r>
      <w:r w:rsidRPr="009714A3">
        <w:rPr>
          <w:b/>
          <w:sz w:val="28"/>
          <w:szCs w:val="28"/>
        </w:rPr>
        <w:t>SEPTEMBER 201</w:t>
      </w:r>
      <w:r w:rsidR="00050C55">
        <w:rPr>
          <w:b/>
          <w:sz w:val="28"/>
          <w:szCs w:val="28"/>
        </w:rPr>
        <w:t>7</w:t>
      </w:r>
    </w:p>
    <w:p w:rsidR="007667AF" w:rsidRDefault="007667AF" w:rsidP="007D22FD">
      <w:pPr>
        <w:jc w:val="both"/>
      </w:pPr>
    </w:p>
    <w:p w:rsidR="00050C55" w:rsidRPr="007A2AD1" w:rsidRDefault="00205E41" w:rsidP="00050C55">
      <w:pPr>
        <w:rPr>
          <w:b/>
          <w:u w:val="single"/>
        </w:rPr>
      </w:pPr>
      <w:r>
        <w:rPr>
          <w:b/>
          <w:u w:val="single"/>
        </w:rPr>
        <w:t xml:space="preserve">1. </w:t>
      </w:r>
      <w:r w:rsidR="00050C55" w:rsidRPr="007A2AD1">
        <w:rPr>
          <w:b/>
          <w:u w:val="single"/>
        </w:rPr>
        <w:t>Security of Activity Centre Sites &amp; Public Open Spaces (</w:t>
      </w:r>
      <w:r w:rsidR="00050C55">
        <w:rPr>
          <w:b/>
          <w:u w:val="single"/>
        </w:rPr>
        <w:t xml:space="preserve">N/C - </w:t>
      </w:r>
      <w:r w:rsidR="00050C55" w:rsidRPr="007A2AD1">
        <w:rPr>
          <w:b/>
          <w:u w:val="single"/>
        </w:rPr>
        <w:t xml:space="preserve">Various) </w:t>
      </w:r>
    </w:p>
    <w:p w:rsidR="00050C55" w:rsidRPr="00050C55" w:rsidRDefault="00050C55" w:rsidP="00050C55">
      <w:pPr>
        <w:pStyle w:val="ListParagraph"/>
        <w:spacing w:after="0" w:line="240" w:lineRule="auto"/>
        <w:ind w:left="0"/>
        <w:jc w:val="both"/>
        <w:rPr>
          <w:rFonts w:ascii="Times New Roman" w:hAnsi="Times New Roman"/>
          <w:i/>
          <w:sz w:val="24"/>
          <w:szCs w:val="24"/>
        </w:rPr>
      </w:pPr>
      <w:r>
        <w:rPr>
          <w:rFonts w:ascii="Times New Roman" w:hAnsi="Times New Roman"/>
          <w:i/>
          <w:sz w:val="24"/>
          <w:szCs w:val="24"/>
        </w:rPr>
        <w:t>C</w:t>
      </w:r>
      <w:r w:rsidRPr="00050C55">
        <w:rPr>
          <w:rFonts w:ascii="Times New Roman" w:hAnsi="Times New Roman"/>
          <w:i/>
          <w:sz w:val="24"/>
          <w:szCs w:val="24"/>
        </w:rPr>
        <w:t>ouncillors agreed to “RECOMMEND to Full Council” that BSTC obtains quotes and costings for the following:</w:t>
      </w:r>
    </w:p>
    <w:p w:rsidR="00050C55" w:rsidRPr="00050C55" w:rsidRDefault="00050C55" w:rsidP="00050C55">
      <w:pPr>
        <w:pStyle w:val="ListParagraph"/>
        <w:numPr>
          <w:ilvl w:val="0"/>
          <w:numId w:val="20"/>
        </w:numPr>
        <w:spacing w:after="0" w:line="240" w:lineRule="auto"/>
        <w:ind w:left="714" w:hanging="357"/>
        <w:jc w:val="both"/>
        <w:rPr>
          <w:rFonts w:ascii="Times New Roman" w:hAnsi="Times New Roman"/>
          <w:i/>
          <w:sz w:val="24"/>
          <w:szCs w:val="24"/>
        </w:rPr>
      </w:pPr>
      <w:r w:rsidRPr="00050C55">
        <w:rPr>
          <w:rFonts w:ascii="Times New Roman" w:hAnsi="Times New Roman"/>
          <w:i/>
          <w:sz w:val="24"/>
          <w:szCs w:val="24"/>
        </w:rPr>
        <w:t>Installation of gate and fencing at Jubilee Centre</w:t>
      </w:r>
      <w:r w:rsidR="00AD08FC">
        <w:rPr>
          <w:rFonts w:ascii="Times New Roman" w:hAnsi="Times New Roman"/>
          <w:i/>
          <w:sz w:val="24"/>
          <w:szCs w:val="24"/>
        </w:rPr>
        <w:t>/</w:t>
      </w:r>
      <w:r w:rsidRPr="00050C55">
        <w:rPr>
          <w:rFonts w:ascii="Times New Roman" w:hAnsi="Times New Roman"/>
          <w:i/>
          <w:sz w:val="24"/>
          <w:szCs w:val="24"/>
        </w:rPr>
        <w:t>Stoke Meadows</w:t>
      </w:r>
      <w:r w:rsidR="00AD08FC">
        <w:rPr>
          <w:rFonts w:ascii="Times New Roman" w:hAnsi="Times New Roman"/>
          <w:i/>
          <w:sz w:val="24"/>
          <w:szCs w:val="24"/>
        </w:rPr>
        <w:t xml:space="preserve"> entrance</w:t>
      </w:r>
    </w:p>
    <w:p w:rsidR="00050C55" w:rsidRPr="00050C55" w:rsidRDefault="00050C55" w:rsidP="00050C55">
      <w:pPr>
        <w:pStyle w:val="ListParagraph"/>
        <w:numPr>
          <w:ilvl w:val="0"/>
          <w:numId w:val="20"/>
        </w:numPr>
        <w:spacing w:after="0" w:line="240" w:lineRule="auto"/>
        <w:ind w:left="714" w:hanging="357"/>
        <w:jc w:val="both"/>
        <w:rPr>
          <w:rFonts w:ascii="Times New Roman" w:hAnsi="Times New Roman"/>
          <w:i/>
          <w:sz w:val="24"/>
          <w:szCs w:val="24"/>
        </w:rPr>
      </w:pPr>
      <w:r w:rsidRPr="00050C55">
        <w:rPr>
          <w:rFonts w:ascii="Times New Roman" w:hAnsi="Times New Roman"/>
          <w:i/>
          <w:sz w:val="24"/>
          <w:szCs w:val="24"/>
        </w:rPr>
        <w:t>Installation of robust tamper-proof padlocks on all gates</w:t>
      </w:r>
    </w:p>
    <w:p w:rsidR="00050C55" w:rsidRPr="00050C55" w:rsidRDefault="00050C55" w:rsidP="00050C55">
      <w:pPr>
        <w:pStyle w:val="ListParagraph"/>
        <w:numPr>
          <w:ilvl w:val="0"/>
          <w:numId w:val="20"/>
        </w:numPr>
        <w:spacing w:after="0" w:line="240" w:lineRule="auto"/>
        <w:ind w:left="714" w:hanging="357"/>
        <w:jc w:val="both"/>
        <w:rPr>
          <w:rFonts w:ascii="Times New Roman" w:hAnsi="Times New Roman"/>
          <w:i/>
          <w:sz w:val="24"/>
          <w:szCs w:val="24"/>
        </w:rPr>
      </w:pPr>
      <w:r w:rsidRPr="00050C55">
        <w:rPr>
          <w:rFonts w:ascii="Times New Roman" w:hAnsi="Times New Roman"/>
          <w:i/>
          <w:sz w:val="24"/>
          <w:szCs w:val="24"/>
        </w:rPr>
        <w:t>Installation of boulders on far side of Baileys Court Activity Centre</w:t>
      </w:r>
    </w:p>
    <w:p w:rsidR="00050C55" w:rsidRPr="00050C55" w:rsidRDefault="00050C55" w:rsidP="00050C55">
      <w:pPr>
        <w:pStyle w:val="ListParagraph"/>
        <w:numPr>
          <w:ilvl w:val="0"/>
          <w:numId w:val="20"/>
        </w:numPr>
        <w:spacing w:after="0" w:line="240" w:lineRule="auto"/>
        <w:ind w:left="714" w:hanging="357"/>
        <w:jc w:val="both"/>
        <w:rPr>
          <w:i/>
        </w:rPr>
      </w:pPr>
      <w:r w:rsidRPr="00050C55">
        <w:rPr>
          <w:rFonts w:ascii="Times New Roman" w:hAnsi="Times New Roman"/>
          <w:i/>
          <w:sz w:val="24"/>
          <w:szCs w:val="24"/>
        </w:rPr>
        <w:t>Installation of soil banks on Bradley Stoke Way &amp; Brook Way</w:t>
      </w:r>
    </w:p>
    <w:p w:rsidR="00E80B0A" w:rsidRPr="0047380A" w:rsidRDefault="00E80B0A" w:rsidP="007D22FD">
      <w:pPr>
        <w:jc w:val="both"/>
        <w:rPr>
          <w:sz w:val="16"/>
          <w:szCs w:val="16"/>
        </w:rPr>
      </w:pPr>
    </w:p>
    <w:p w:rsidR="0047380A" w:rsidRPr="0047380A" w:rsidRDefault="0047380A" w:rsidP="007D22FD">
      <w:pPr>
        <w:jc w:val="both"/>
        <w:rPr>
          <w:sz w:val="16"/>
          <w:szCs w:val="16"/>
        </w:rPr>
      </w:pPr>
    </w:p>
    <w:p w:rsidR="00050C55" w:rsidRPr="00205E41" w:rsidRDefault="00205702" w:rsidP="00050C55">
      <w:pPr>
        <w:rPr>
          <w:b/>
          <w:u w:val="single"/>
        </w:rPr>
      </w:pPr>
      <w:r>
        <w:rPr>
          <w:b/>
          <w:u w:val="single"/>
        </w:rPr>
        <w:t xml:space="preserve">2. </w:t>
      </w:r>
      <w:r w:rsidR="00050C55">
        <w:rPr>
          <w:b/>
          <w:u w:val="single"/>
        </w:rPr>
        <w:t xml:space="preserve">Replacement of BSTC Astra Van </w:t>
      </w:r>
      <w:r w:rsidR="00050C55" w:rsidRPr="00205E41">
        <w:rPr>
          <w:b/>
          <w:u w:val="single"/>
        </w:rPr>
        <w:t>(N/C 30</w:t>
      </w:r>
      <w:r w:rsidR="00050C55">
        <w:rPr>
          <w:b/>
          <w:u w:val="single"/>
        </w:rPr>
        <w:t>23</w:t>
      </w:r>
      <w:r w:rsidR="00050C55" w:rsidRPr="00205E41">
        <w:rPr>
          <w:b/>
          <w:u w:val="single"/>
        </w:rPr>
        <w:t>)</w:t>
      </w:r>
    </w:p>
    <w:p w:rsidR="0047380A" w:rsidRPr="00050C55" w:rsidRDefault="00050C55" w:rsidP="0047380A">
      <w:pPr>
        <w:jc w:val="both"/>
        <w:rPr>
          <w:sz w:val="16"/>
          <w:szCs w:val="16"/>
        </w:rPr>
      </w:pPr>
      <w:r>
        <w:rPr>
          <w:i/>
        </w:rPr>
        <w:t>C</w:t>
      </w:r>
      <w:r w:rsidRPr="00050C55">
        <w:rPr>
          <w:i/>
        </w:rPr>
        <w:t>ouncillors agreed to “RECOMMEND to Full Council” that BSTC purchase a second-hand flatbed vehicle to replace the Astra Van up to a cost of £15,000 from the Replacement Vehicle Budget Reserve (N/C 3023).</w:t>
      </w:r>
    </w:p>
    <w:p w:rsidR="0047380A" w:rsidRDefault="0047380A" w:rsidP="0047380A">
      <w:pPr>
        <w:jc w:val="both"/>
        <w:rPr>
          <w:sz w:val="16"/>
          <w:szCs w:val="16"/>
        </w:rPr>
      </w:pPr>
    </w:p>
    <w:p w:rsidR="00050C55" w:rsidRPr="0047380A" w:rsidRDefault="00050C55" w:rsidP="0047380A">
      <w:pPr>
        <w:jc w:val="both"/>
        <w:rPr>
          <w:sz w:val="16"/>
          <w:szCs w:val="16"/>
        </w:rPr>
      </w:pPr>
    </w:p>
    <w:p w:rsidR="00624E17" w:rsidRPr="001E1553" w:rsidRDefault="000B26FC" w:rsidP="00624E17">
      <w:pPr>
        <w:ind w:left="720" w:hanging="720"/>
        <w:rPr>
          <w:b/>
          <w:u w:val="single"/>
        </w:rPr>
      </w:pPr>
      <w:r>
        <w:rPr>
          <w:b/>
          <w:u w:val="single"/>
        </w:rPr>
        <w:t>3</w:t>
      </w:r>
      <w:r w:rsidR="007667AF" w:rsidRPr="009714A3">
        <w:rPr>
          <w:b/>
          <w:u w:val="single"/>
        </w:rPr>
        <w:t>.</w:t>
      </w:r>
      <w:r w:rsidR="00A045F4" w:rsidRPr="009714A3">
        <w:rPr>
          <w:b/>
          <w:u w:val="single"/>
        </w:rPr>
        <w:t xml:space="preserve"> </w:t>
      </w:r>
      <w:r w:rsidR="00624E17">
        <w:rPr>
          <w:b/>
          <w:u w:val="single"/>
        </w:rPr>
        <w:t>Installation of a MUGA court at the Jubilee Centre (N/C to be decided)</w:t>
      </w:r>
    </w:p>
    <w:p w:rsidR="00624E17" w:rsidRPr="00624E17" w:rsidRDefault="00624E17" w:rsidP="00624E17">
      <w:pPr>
        <w:jc w:val="both"/>
        <w:rPr>
          <w:i/>
        </w:rPr>
      </w:pPr>
      <w:r>
        <w:rPr>
          <w:i/>
        </w:rPr>
        <w:t>C</w:t>
      </w:r>
      <w:r w:rsidRPr="00624E17">
        <w:rPr>
          <w:i/>
        </w:rPr>
        <w:t xml:space="preserve">ouncillors agreed to “RECOMMEND to Full Council” that quotes be obtained to carry out the installation of a MUGA court (and associated works) on one of the existing hardcourts at The Jubilee Centre. </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1C0960" w:rsidRPr="001C0960" w:rsidRDefault="007D1042" w:rsidP="001C0960">
      <w:pPr>
        <w:jc w:val="both"/>
        <w:rPr>
          <w:b/>
          <w:u w:val="single"/>
        </w:rPr>
      </w:pPr>
      <w:r>
        <w:rPr>
          <w:b/>
          <w:u w:val="single"/>
        </w:rPr>
        <w:t>4</w:t>
      </w:r>
      <w:r w:rsidR="004D3F5B" w:rsidRPr="009714A3">
        <w:rPr>
          <w:b/>
          <w:u w:val="single"/>
        </w:rPr>
        <w:t>.</w:t>
      </w:r>
      <w:r w:rsidR="00A045F4" w:rsidRPr="009714A3">
        <w:rPr>
          <w:b/>
          <w:u w:val="single"/>
        </w:rPr>
        <w:t xml:space="preserve"> </w:t>
      </w:r>
      <w:r w:rsidR="001C0960" w:rsidRPr="001C0960">
        <w:rPr>
          <w:b/>
          <w:u w:val="single"/>
        </w:rPr>
        <w:t>Replacement of High Safety netting at Baileys Court Activity Centre to protect car park and play area from cricket balls (N/C 9032)</w:t>
      </w:r>
    </w:p>
    <w:p w:rsidR="001C0960" w:rsidRPr="001C0960" w:rsidRDefault="001C0960" w:rsidP="001C0960">
      <w:pPr>
        <w:jc w:val="both"/>
        <w:rPr>
          <w:i/>
        </w:rPr>
      </w:pPr>
      <w:r>
        <w:rPr>
          <w:i/>
        </w:rPr>
        <w:t>C</w:t>
      </w:r>
      <w:r w:rsidRPr="001C0960">
        <w:rPr>
          <w:i/>
        </w:rPr>
        <w:t xml:space="preserve">ouncillors agreed to “RECOMMEND to Full Council” that BSTC obtains quotes to replace the existing high safety netting at Baileys Court Activity Centre (Baileys Court Activity Centre equipment budget N/C 9032). BSTC to ask Bradley Stoke Cricket Club if they will offer a contribution towards the cost of the work.  </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F17720" w:rsidRPr="00F17720" w:rsidRDefault="005C70B7" w:rsidP="00F17720">
      <w:pPr>
        <w:jc w:val="both"/>
        <w:rPr>
          <w:b/>
          <w:u w:val="single"/>
        </w:rPr>
      </w:pPr>
      <w:r>
        <w:rPr>
          <w:b/>
          <w:u w:val="single"/>
        </w:rPr>
        <w:t>5</w:t>
      </w:r>
      <w:r w:rsidR="002255C6">
        <w:rPr>
          <w:b/>
          <w:u w:val="single"/>
        </w:rPr>
        <w:t xml:space="preserve">. </w:t>
      </w:r>
      <w:r w:rsidR="00F17720" w:rsidRPr="00F17720">
        <w:rPr>
          <w:b/>
          <w:u w:val="single"/>
        </w:rPr>
        <w:t>Beautification of Bradley Stoke with flowers &amp; planting (N/C - Various)</w:t>
      </w:r>
    </w:p>
    <w:p w:rsidR="00F17720" w:rsidRPr="00F17720" w:rsidRDefault="00F17720" w:rsidP="00F17720">
      <w:pPr>
        <w:jc w:val="both"/>
        <w:rPr>
          <w:i/>
        </w:rPr>
      </w:pPr>
      <w:r>
        <w:rPr>
          <w:i/>
        </w:rPr>
        <w:t>C</w:t>
      </w:r>
      <w:r w:rsidRPr="00F17720">
        <w:rPr>
          <w:i/>
        </w:rPr>
        <w:t>ouncillors agreed to “RECOMMEND to Full Council” that BSTC speak to SGC to ascertain the cost of licenses and any relevant restrictions to work undertaken to plant trees and flowers in Bradley Stoke.</w:t>
      </w:r>
    </w:p>
    <w:p w:rsidR="00352E2A" w:rsidRPr="00352E2A" w:rsidRDefault="00352E2A" w:rsidP="00352E2A">
      <w:pPr>
        <w:jc w:val="both"/>
        <w:rPr>
          <w:i/>
          <w:sz w:val="16"/>
          <w:szCs w:val="16"/>
        </w:rPr>
      </w:pPr>
    </w:p>
    <w:p w:rsidR="0047380A" w:rsidRPr="0047380A" w:rsidRDefault="0047380A" w:rsidP="0047380A">
      <w:pPr>
        <w:jc w:val="both"/>
        <w:rPr>
          <w:sz w:val="16"/>
          <w:szCs w:val="16"/>
        </w:rPr>
      </w:pPr>
    </w:p>
    <w:p w:rsidR="00F17720" w:rsidRPr="00F17720" w:rsidRDefault="005C70B7" w:rsidP="00F17720">
      <w:pPr>
        <w:jc w:val="both"/>
        <w:rPr>
          <w:b/>
          <w:u w:val="single"/>
        </w:rPr>
      </w:pPr>
      <w:r>
        <w:rPr>
          <w:b/>
          <w:u w:val="single"/>
        </w:rPr>
        <w:t>6</w:t>
      </w:r>
      <w:r w:rsidR="002255C6">
        <w:rPr>
          <w:b/>
          <w:u w:val="single"/>
        </w:rPr>
        <w:t xml:space="preserve">. </w:t>
      </w:r>
      <w:r w:rsidR="00F17720" w:rsidRPr="00F17720">
        <w:rPr>
          <w:b/>
          <w:u w:val="single"/>
        </w:rPr>
        <w:t>Installation of centre line road markings and arrows in Jubilee Centre car park (N/C 6046)</w:t>
      </w:r>
    </w:p>
    <w:p w:rsidR="00F17720" w:rsidRPr="00F17720" w:rsidRDefault="00F17720" w:rsidP="00F17720">
      <w:pPr>
        <w:jc w:val="both"/>
        <w:rPr>
          <w:i/>
        </w:rPr>
      </w:pPr>
      <w:r>
        <w:rPr>
          <w:i/>
        </w:rPr>
        <w:t>C</w:t>
      </w:r>
      <w:r w:rsidRPr="00F17720">
        <w:rPr>
          <w:i/>
        </w:rPr>
        <w:t>ouncillors agreed to “RECOMMEND to Full Council” that BSTC install white lines and arrows in the Jubilee Centre car park using the Jubilee Centre Grounds Maintenance budget (N/C 6046).</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1174BE" w:rsidRPr="001174BE" w:rsidRDefault="005C70B7" w:rsidP="001174BE">
      <w:pPr>
        <w:jc w:val="both"/>
        <w:rPr>
          <w:b/>
          <w:u w:val="single"/>
        </w:rPr>
      </w:pPr>
      <w:r>
        <w:rPr>
          <w:b/>
          <w:u w:val="single"/>
        </w:rPr>
        <w:t>7</w:t>
      </w:r>
      <w:r w:rsidR="005A6A93">
        <w:rPr>
          <w:b/>
          <w:u w:val="single"/>
        </w:rPr>
        <w:t xml:space="preserve">. </w:t>
      </w:r>
      <w:r w:rsidR="001174BE" w:rsidRPr="001174BE">
        <w:rPr>
          <w:b/>
          <w:u w:val="single"/>
        </w:rPr>
        <w:t>Review of Current Levels of Youth Budgets (N/C 3079+3080+3081+5500) – excluding external Positive Activities Funding</w:t>
      </w:r>
    </w:p>
    <w:p w:rsidR="001174BE" w:rsidRPr="001174BE" w:rsidRDefault="001174BE" w:rsidP="001174BE">
      <w:pPr>
        <w:jc w:val="both"/>
        <w:rPr>
          <w:i/>
        </w:rPr>
      </w:pPr>
      <w:r w:rsidRPr="001174BE">
        <w:rPr>
          <w:i/>
        </w:rPr>
        <w:t>Councillors agreed to “RECOMMEND to Full Council” that the current youth budgets remain as they are and are revisited at Strategic Planning in September 2018.</w:t>
      </w:r>
    </w:p>
    <w:p w:rsidR="0084651D" w:rsidRPr="005C70B7" w:rsidRDefault="0084651D" w:rsidP="005A6A93">
      <w:pPr>
        <w:jc w:val="both"/>
        <w:rPr>
          <w:b/>
          <w:i/>
          <w:sz w:val="16"/>
          <w:szCs w:val="16"/>
        </w:rPr>
      </w:pPr>
    </w:p>
    <w:p w:rsidR="0047380A" w:rsidRPr="0047380A" w:rsidRDefault="0047380A" w:rsidP="0047380A">
      <w:pPr>
        <w:jc w:val="both"/>
        <w:rPr>
          <w:sz w:val="16"/>
          <w:szCs w:val="16"/>
        </w:rPr>
      </w:pPr>
    </w:p>
    <w:p w:rsidR="00A01B64" w:rsidRPr="00A01B64" w:rsidRDefault="005C70B7" w:rsidP="00A01B64">
      <w:pPr>
        <w:jc w:val="both"/>
        <w:rPr>
          <w:b/>
          <w:u w:val="single"/>
        </w:rPr>
      </w:pPr>
      <w:r>
        <w:rPr>
          <w:b/>
          <w:u w:val="single"/>
        </w:rPr>
        <w:t>8</w:t>
      </w:r>
      <w:r w:rsidR="0047380A">
        <w:rPr>
          <w:b/>
          <w:u w:val="single"/>
        </w:rPr>
        <w:t xml:space="preserve">. </w:t>
      </w:r>
      <w:r w:rsidR="00A01B64" w:rsidRPr="00A01B64">
        <w:rPr>
          <w:b/>
          <w:u w:val="single"/>
        </w:rPr>
        <w:t>Provision of Activities for Older Members of the Community (N/C 5015)</w:t>
      </w:r>
    </w:p>
    <w:p w:rsidR="00A01B64" w:rsidRPr="00A01B64" w:rsidRDefault="00A01B64" w:rsidP="00A01B64">
      <w:pPr>
        <w:jc w:val="both"/>
        <w:rPr>
          <w:i/>
        </w:rPr>
      </w:pPr>
      <w:r>
        <w:rPr>
          <w:i/>
        </w:rPr>
        <w:t>C</w:t>
      </w:r>
      <w:r w:rsidRPr="00A01B64">
        <w:rPr>
          <w:i/>
        </w:rPr>
        <w:t xml:space="preserve">ouncillors agreed to “RECOMMEND to Full Council” that BSTC use local media organisations and other avenues to both publicise the BSTC grant funding streams </w:t>
      </w:r>
      <w:proofErr w:type="gramStart"/>
      <w:r w:rsidRPr="00A01B64">
        <w:rPr>
          <w:i/>
        </w:rPr>
        <w:t>and also</w:t>
      </w:r>
      <w:proofErr w:type="gramEnd"/>
      <w:r w:rsidRPr="00A01B64">
        <w:rPr>
          <w:i/>
        </w:rPr>
        <w:t xml:space="preserve"> gauge support for an older person’s afternoon tea party/socialising event to be organised next year. </w:t>
      </w:r>
    </w:p>
    <w:p w:rsidR="00C11EE8" w:rsidRPr="00A01B64" w:rsidRDefault="00C11EE8" w:rsidP="00A01B64">
      <w:pPr>
        <w:jc w:val="both"/>
        <w:sectPr w:rsidR="00C11EE8" w:rsidRPr="00A01B64" w:rsidSect="009714A3">
          <w:headerReference w:type="default" r:id="rId7"/>
          <w:footerReference w:type="even" r:id="rId8"/>
          <w:footerReference w:type="default" r:id="rId9"/>
          <w:pgSz w:w="11906" w:h="16838"/>
          <w:pgMar w:top="851" w:right="1134" w:bottom="851" w:left="1134" w:header="709" w:footer="709" w:gutter="0"/>
          <w:cols w:space="708"/>
          <w:docGrid w:linePitch="360"/>
        </w:sectPr>
      </w:pPr>
    </w:p>
    <w:p w:rsidR="00BE3513" w:rsidRDefault="00BE3513" w:rsidP="00642BAB">
      <w:pPr>
        <w:jc w:val="right"/>
        <w:rPr>
          <w:b/>
        </w:rPr>
      </w:pPr>
      <w:r w:rsidRPr="00E6461B">
        <w:rPr>
          <w:b/>
        </w:rPr>
        <w:lastRenderedPageBreak/>
        <w:t>Appendix A</w:t>
      </w:r>
    </w:p>
    <w:tbl>
      <w:tblPr>
        <w:tblW w:w="15735" w:type="dxa"/>
        <w:tblLayout w:type="fixed"/>
        <w:tblLook w:val="04A0" w:firstRow="1" w:lastRow="0" w:firstColumn="1" w:lastColumn="0" w:noHBand="0" w:noVBand="1"/>
      </w:tblPr>
      <w:tblGrid>
        <w:gridCol w:w="2410"/>
        <w:gridCol w:w="284"/>
        <w:gridCol w:w="284"/>
        <w:gridCol w:w="9"/>
        <w:gridCol w:w="875"/>
        <w:gridCol w:w="637"/>
        <w:gridCol w:w="888"/>
        <w:gridCol w:w="763"/>
        <w:gridCol w:w="10"/>
        <w:gridCol w:w="874"/>
        <w:gridCol w:w="763"/>
        <w:gridCol w:w="992"/>
        <w:gridCol w:w="709"/>
        <w:gridCol w:w="992"/>
        <w:gridCol w:w="709"/>
        <w:gridCol w:w="992"/>
        <w:gridCol w:w="709"/>
        <w:gridCol w:w="992"/>
        <w:gridCol w:w="709"/>
        <w:gridCol w:w="1134"/>
      </w:tblGrid>
      <w:tr w:rsidR="00872FF6" w:rsidRPr="00872FF6" w:rsidTr="00872FF6">
        <w:trPr>
          <w:trHeight w:val="68"/>
        </w:trPr>
        <w:tc>
          <w:tcPr>
            <w:tcW w:w="15735" w:type="dxa"/>
            <w:gridSpan w:val="20"/>
            <w:tcBorders>
              <w:top w:val="nil"/>
              <w:left w:val="nil"/>
              <w:bottom w:val="nil"/>
              <w:right w:val="nil"/>
            </w:tcBorders>
            <w:shd w:val="clear" w:color="auto" w:fill="auto"/>
            <w:vAlign w:val="bottom"/>
            <w:hideMark/>
          </w:tcPr>
          <w:p w:rsidR="00872FF6" w:rsidRPr="00872FF6" w:rsidRDefault="00872FF6">
            <w:pPr>
              <w:jc w:val="center"/>
              <w:rPr>
                <w:rFonts w:ascii="Arial" w:hAnsi="Arial" w:cs="Arial"/>
                <w:b/>
                <w:bCs/>
                <w:sz w:val="20"/>
                <w:szCs w:val="20"/>
              </w:rPr>
            </w:pPr>
            <w:r w:rsidRPr="00872FF6">
              <w:rPr>
                <w:rFonts w:ascii="Arial" w:hAnsi="Arial" w:cs="Arial"/>
                <w:b/>
                <w:bCs/>
                <w:sz w:val="20"/>
                <w:szCs w:val="20"/>
              </w:rPr>
              <w:t xml:space="preserve">2017/18 APPROVED BUDGET @ 8/8/17 FORWARD PLAN  </w:t>
            </w:r>
          </w:p>
        </w:tc>
      </w:tr>
      <w:tr w:rsidR="00872FF6" w:rsidRPr="00872FF6" w:rsidTr="00872FF6">
        <w:trPr>
          <w:trHeight w:val="68"/>
        </w:trPr>
        <w:tc>
          <w:tcPr>
            <w:tcW w:w="2410"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sz w:val="12"/>
                <w:szCs w:val="12"/>
              </w:rPr>
            </w:pPr>
          </w:p>
        </w:tc>
        <w:tc>
          <w:tcPr>
            <w:tcW w:w="28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28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884" w:type="dxa"/>
            <w:gridSpan w:val="2"/>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637"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888"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63"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884" w:type="dxa"/>
            <w:gridSpan w:val="2"/>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63"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r>
      <w:tr w:rsidR="00872FF6" w:rsidRPr="00872FF6" w:rsidTr="00872FF6">
        <w:trPr>
          <w:trHeight w:val="255"/>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2FF6" w:rsidRPr="00872FF6" w:rsidRDefault="00872FF6">
            <w:pPr>
              <w:jc w:val="center"/>
              <w:rPr>
                <w:rFonts w:ascii="Arial" w:hAnsi="Arial" w:cs="Arial"/>
                <w:b/>
                <w:bCs/>
                <w:sz w:val="12"/>
                <w:szCs w:val="12"/>
              </w:rPr>
            </w:pPr>
          </w:p>
        </w:tc>
        <w:tc>
          <w:tcPr>
            <w:tcW w:w="284" w:type="dxa"/>
            <w:vMerge w:val="restart"/>
            <w:tcBorders>
              <w:top w:val="single" w:sz="4" w:space="0" w:color="auto"/>
              <w:left w:val="single" w:sz="4" w:space="0" w:color="auto"/>
              <w:bottom w:val="single" w:sz="4" w:space="0" w:color="000000"/>
              <w:right w:val="nil"/>
            </w:tcBorders>
            <w:shd w:val="clear" w:color="auto" w:fill="auto"/>
            <w:vAlign w:val="center"/>
          </w:tcPr>
          <w:p w:rsidR="00872FF6" w:rsidRPr="00872FF6" w:rsidRDefault="00872FF6">
            <w:pPr>
              <w:jc w:val="center"/>
              <w:rPr>
                <w:rFonts w:ascii="Arial" w:hAnsi="Arial" w:cs="Arial"/>
                <w:b/>
                <w:bCs/>
                <w:sz w:val="12"/>
                <w:szCs w:val="12"/>
              </w:rPr>
            </w:pP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Approved Budget 2015/16</w:t>
            </w:r>
          </w:p>
        </w:tc>
        <w:tc>
          <w:tcPr>
            <w:tcW w:w="637" w:type="dxa"/>
            <w:vMerge w:val="restart"/>
            <w:tcBorders>
              <w:top w:val="single" w:sz="4" w:space="0" w:color="auto"/>
              <w:left w:val="single" w:sz="4" w:space="0" w:color="auto"/>
              <w:bottom w:val="single" w:sz="4" w:space="0" w:color="000000"/>
              <w:right w:val="nil"/>
            </w:tcBorders>
            <w:shd w:val="clear" w:color="000000" w:fill="FFFF99"/>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Projected Budget 2016/17</w:t>
            </w:r>
          </w:p>
        </w:tc>
        <w:tc>
          <w:tcPr>
            <w:tcW w:w="763" w:type="dxa"/>
            <w:vMerge w:val="restart"/>
            <w:tcBorders>
              <w:top w:val="single" w:sz="4" w:space="0" w:color="auto"/>
              <w:left w:val="single" w:sz="4" w:space="0" w:color="auto"/>
              <w:bottom w:val="single" w:sz="4" w:space="0" w:color="000000"/>
              <w:right w:val="nil"/>
            </w:tcBorders>
            <w:shd w:val="clear" w:color="000000" w:fill="FF99CC"/>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884" w:type="dxa"/>
            <w:gridSpan w:val="2"/>
            <w:vMerge w:val="restart"/>
            <w:tcBorders>
              <w:top w:val="single" w:sz="12" w:space="0" w:color="auto"/>
              <w:left w:val="single" w:sz="12" w:space="0" w:color="auto"/>
              <w:bottom w:val="single" w:sz="4" w:space="0" w:color="000000"/>
              <w:right w:val="single" w:sz="4" w:space="0" w:color="auto"/>
            </w:tcBorders>
            <w:shd w:val="clear" w:color="000000" w:fill="FABF8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Projected Budget 2017/18</w:t>
            </w:r>
          </w:p>
        </w:tc>
        <w:tc>
          <w:tcPr>
            <w:tcW w:w="763" w:type="dxa"/>
            <w:vMerge w:val="restart"/>
            <w:tcBorders>
              <w:top w:val="single" w:sz="12" w:space="0" w:color="auto"/>
              <w:left w:val="single" w:sz="4" w:space="0" w:color="auto"/>
              <w:bottom w:val="single" w:sz="4" w:space="0" w:color="000000"/>
              <w:right w:val="single" w:sz="12" w:space="0" w:color="auto"/>
            </w:tcBorders>
            <w:shd w:val="clear" w:color="000000" w:fill="FABF8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992" w:type="dxa"/>
            <w:vMerge w:val="restart"/>
            <w:tcBorders>
              <w:top w:val="single" w:sz="4" w:space="0" w:color="auto"/>
              <w:left w:val="nil"/>
              <w:bottom w:val="single" w:sz="4" w:space="0" w:color="000000"/>
              <w:right w:val="single" w:sz="4" w:space="0" w:color="auto"/>
            </w:tcBorders>
            <w:shd w:val="clear" w:color="000000" w:fill="99CCF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Projected Budget 2018/19</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Projected Budget 2019/20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Projected Budget 2020/21</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Approved Budget 2021/22</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change</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sz w:val="12"/>
                <w:szCs w:val="12"/>
              </w:rPr>
            </w:pPr>
          </w:p>
        </w:tc>
      </w:tr>
      <w:tr w:rsidR="00872FF6" w:rsidRPr="00872FF6" w:rsidTr="00872FF6">
        <w:trPr>
          <w:trHeight w:val="3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INCOME</w:t>
            </w: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2FF6" w:rsidRPr="00872FF6" w:rsidRDefault="00872FF6">
            <w:pPr>
              <w:rPr>
                <w:rFonts w:ascii="Arial" w:hAnsi="Arial" w:cs="Arial"/>
                <w:b/>
                <w:bCs/>
                <w:sz w:val="12"/>
                <w:szCs w:val="12"/>
              </w:rPr>
            </w:pPr>
          </w:p>
        </w:tc>
        <w:tc>
          <w:tcPr>
            <w:tcW w:w="284" w:type="dxa"/>
            <w:vMerge/>
            <w:tcBorders>
              <w:top w:val="single" w:sz="4" w:space="0" w:color="auto"/>
              <w:left w:val="single" w:sz="4" w:space="0" w:color="auto"/>
              <w:bottom w:val="single" w:sz="4" w:space="0" w:color="000000"/>
              <w:right w:val="nil"/>
            </w:tcBorders>
            <w:shd w:val="clear" w:color="auto" w:fill="auto"/>
            <w:vAlign w:val="center"/>
          </w:tcPr>
          <w:p w:rsidR="00872FF6" w:rsidRPr="00872FF6" w:rsidRDefault="00872FF6">
            <w:pPr>
              <w:rPr>
                <w:rFonts w:ascii="Arial" w:hAnsi="Arial" w:cs="Arial"/>
                <w:b/>
                <w:bCs/>
                <w:sz w:val="12"/>
                <w:szCs w:val="12"/>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637" w:type="dxa"/>
            <w:vMerge/>
            <w:tcBorders>
              <w:top w:val="single" w:sz="4" w:space="0" w:color="auto"/>
              <w:left w:val="single" w:sz="4" w:space="0" w:color="auto"/>
              <w:bottom w:val="single" w:sz="4" w:space="0" w:color="000000"/>
              <w:right w:val="nil"/>
            </w:tcBorders>
            <w:vAlign w:val="center"/>
            <w:hideMark/>
          </w:tcPr>
          <w:p w:rsidR="00872FF6" w:rsidRPr="00872FF6" w:rsidRDefault="00872FF6">
            <w:pPr>
              <w:rPr>
                <w:rFonts w:ascii="Arial" w:hAnsi="Arial" w:cs="Arial"/>
                <w:b/>
                <w:bCs/>
                <w:sz w:val="12"/>
                <w:szCs w:val="12"/>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63" w:type="dxa"/>
            <w:vMerge/>
            <w:tcBorders>
              <w:top w:val="single" w:sz="4" w:space="0" w:color="auto"/>
              <w:left w:val="single" w:sz="4" w:space="0" w:color="auto"/>
              <w:bottom w:val="single" w:sz="4" w:space="0" w:color="000000"/>
              <w:right w:val="nil"/>
            </w:tcBorders>
            <w:vAlign w:val="center"/>
            <w:hideMark/>
          </w:tcPr>
          <w:p w:rsidR="00872FF6" w:rsidRPr="00872FF6" w:rsidRDefault="00872FF6">
            <w:pPr>
              <w:rPr>
                <w:rFonts w:ascii="Arial" w:hAnsi="Arial" w:cs="Arial"/>
                <w:b/>
                <w:bCs/>
                <w:sz w:val="12"/>
                <w:szCs w:val="12"/>
              </w:rPr>
            </w:pPr>
          </w:p>
        </w:tc>
        <w:tc>
          <w:tcPr>
            <w:tcW w:w="884" w:type="dxa"/>
            <w:gridSpan w:val="2"/>
            <w:vMerge/>
            <w:tcBorders>
              <w:top w:val="single" w:sz="12" w:space="0" w:color="auto"/>
              <w:left w:val="single" w:sz="12"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63" w:type="dxa"/>
            <w:vMerge/>
            <w:tcBorders>
              <w:top w:val="single" w:sz="12" w:space="0" w:color="auto"/>
              <w:left w:val="single" w:sz="4" w:space="0" w:color="auto"/>
              <w:bottom w:val="single" w:sz="4" w:space="0" w:color="000000"/>
              <w:right w:val="single" w:sz="12" w:space="0" w:color="auto"/>
            </w:tcBorders>
            <w:vAlign w:val="center"/>
            <w:hideMark/>
          </w:tcPr>
          <w:p w:rsidR="00872FF6" w:rsidRPr="00872FF6" w:rsidRDefault="00872FF6">
            <w:pPr>
              <w:rPr>
                <w:rFonts w:ascii="Arial" w:hAnsi="Arial" w:cs="Arial"/>
                <w:b/>
                <w:bCs/>
                <w:sz w:val="12"/>
                <w:szCs w:val="12"/>
              </w:rPr>
            </w:pPr>
          </w:p>
        </w:tc>
        <w:tc>
          <w:tcPr>
            <w:tcW w:w="992" w:type="dxa"/>
            <w:vMerge/>
            <w:tcBorders>
              <w:top w:val="single" w:sz="4" w:space="0" w:color="auto"/>
              <w:left w:val="nil"/>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2FF6" w:rsidRPr="00872FF6" w:rsidRDefault="00872FF6">
            <w:pPr>
              <w:rPr>
                <w:rFonts w:ascii="Arial" w:hAnsi="Arial" w:cs="Arial"/>
                <w:b/>
                <w:bCs/>
                <w:sz w:val="12"/>
                <w:szCs w:val="12"/>
              </w:rPr>
            </w:pPr>
          </w:p>
        </w:tc>
        <w:tc>
          <w:tcPr>
            <w:tcW w:w="1134" w:type="dxa"/>
            <w:tcBorders>
              <w:top w:val="nil"/>
              <w:left w:val="nil"/>
              <w:bottom w:val="nil"/>
              <w:right w:val="nil"/>
            </w:tcBorders>
            <w:shd w:val="clear" w:color="auto" w:fill="auto"/>
            <w:noWrap/>
            <w:vAlign w:val="bottom"/>
            <w:hideMark/>
          </w:tcPr>
          <w:p w:rsidR="00872FF6" w:rsidRPr="00872FF6" w:rsidRDefault="00872FF6">
            <w:pPr>
              <w:rPr>
                <w:rFonts w:ascii="Arial" w:hAnsi="Arial" w:cs="Arial"/>
                <w:b/>
                <w:bCs/>
                <w:sz w:val="12"/>
                <w:szCs w:val="12"/>
              </w:rPr>
            </w:pPr>
          </w:p>
        </w:tc>
      </w:tr>
      <w:tr w:rsidR="00872FF6" w:rsidRPr="00872FF6" w:rsidTr="00872FF6">
        <w:trPr>
          <w:trHeight w:val="5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Bank Interest/Investment/Grant Income</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£249,578</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428%</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£18,999</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-92%</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£11,760</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-38%</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£9,760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-17%</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£3,800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-61%</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£3,850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£3,900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Public Works Loan</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Activity Centres Income</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£129,470</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£130,530</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£130,000</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£130,500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£131,885</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£134,093</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£136,327</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Training &amp; Other Income</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£1,716</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-85%</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£1,207</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-30%</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£1,771</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47%</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£270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-85%</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£270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£270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£270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38"/>
        </w:trPr>
        <w:tc>
          <w:tcPr>
            <w:tcW w:w="24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Total Income (exc. precept etc)</w:t>
            </w:r>
          </w:p>
        </w:tc>
        <w:tc>
          <w:tcPr>
            <w:tcW w:w="2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single" w:sz="8" w:space="0" w:color="auto"/>
              <w:left w:val="nil"/>
              <w:bottom w:val="single" w:sz="8" w:space="0" w:color="auto"/>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 </w:t>
            </w:r>
          </w:p>
        </w:tc>
        <w:tc>
          <w:tcPr>
            <w:tcW w:w="884" w:type="dxa"/>
            <w:gridSpan w:val="2"/>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£380,764</w:t>
            </w:r>
          </w:p>
        </w:tc>
        <w:tc>
          <w:tcPr>
            <w:tcW w:w="637" w:type="dxa"/>
            <w:tcBorders>
              <w:top w:val="single" w:sz="8" w:space="0" w:color="auto"/>
              <w:left w:val="nil"/>
              <w:bottom w:val="single" w:sz="8" w:space="0" w:color="auto"/>
              <w:right w:val="nil"/>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93%</w:t>
            </w:r>
          </w:p>
        </w:tc>
        <w:tc>
          <w:tcPr>
            <w:tcW w:w="888" w:type="dxa"/>
            <w:tcBorders>
              <w:top w:val="single" w:sz="8" w:space="0" w:color="auto"/>
              <w:left w:val="single" w:sz="4" w:space="0" w:color="auto"/>
              <w:bottom w:val="single" w:sz="8"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£150,735</w:t>
            </w:r>
          </w:p>
        </w:tc>
        <w:tc>
          <w:tcPr>
            <w:tcW w:w="763" w:type="dxa"/>
            <w:tcBorders>
              <w:top w:val="single" w:sz="8" w:space="0" w:color="auto"/>
              <w:left w:val="nil"/>
              <w:bottom w:val="single" w:sz="8" w:space="0" w:color="auto"/>
              <w:right w:val="nil"/>
            </w:tcBorders>
            <w:shd w:val="clear" w:color="000000" w:fill="FF99CC"/>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-60%</w:t>
            </w:r>
          </w:p>
        </w:tc>
        <w:tc>
          <w:tcPr>
            <w:tcW w:w="884" w:type="dxa"/>
            <w:gridSpan w:val="2"/>
            <w:tcBorders>
              <w:top w:val="single" w:sz="8" w:space="0" w:color="auto"/>
              <w:left w:val="single" w:sz="12" w:space="0" w:color="auto"/>
              <w:bottom w:val="single" w:sz="8"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£143,531</w:t>
            </w:r>
          </w:p>
        </w:tc>
        <w:tc>
          <w:tcPr>
            <w:tcW w:w="763" w:type="dxa"/>
            <w:tcBorders>
              <w:top w:val="single" w:sz="8" w:space="0" w:color="auto"/>
              <w:left w:val="nil"/>
              <w:bottom w:val="single" w:sz="8"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-5%</w:t>
            </w:r>
          </w:p>
        </w:tc>
        <w:tc>
          <w:tcPr>
            <w:tcW w:w="992" w:type="dxa"/>
            <w:tcBorders>
              <w:top w:val="single" w:sz="8" w:space="0" w:color="auto"/>
              <w:left w:val="nil"/>
              <w:bottom w:val="single" w:sz="8"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£140,530</w:t>
            </w:r>
          </w:p>
        </w:tc>
        <w:tc>
          <w:tcPr>
            <w:tcW w:w="709" w:type="dxa"/>
            <w:tcBorders>
              <w:top w:val="single" w:sz="8" w:space="0" w:color="auto"/>
              <w:left w:val="nil"/>
              <w:bottom w:val="single" w:sz="8"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-2%</w:t>
            </w:r>
          </w:p>
        </w:tc>
        <w:tc>
          <w:tcPr>
            <w:tcW w:w="992" w:type="dxa"/>
            <w:tcBorders>
              <w:top w:val="single" w:sz="8" w:space="0" w:color="auto"/>
              <w:left w:val="nil"/>
              <w:bottom w:val="single" w:sz="8"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£135,955</w:t>
            </w:r>
          </w:p>
        </w:tc>
        <w:tc>
          <w:tcPr>
            <w:tcW w:w="709" w:type="dxa"/>
            <w:tcBorders>
              <w:top w:val="single" w:sz="8" w:space="0" w:color="auto"/>
              <w:left w:val="nil"/>
              <w:bottom w:val="single" w:sz="8"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-3%</w:t>
            </w:r>
          </w:p>
        </w:tc>
        <w:tc>
          <w:tcPr>
            <w:tcW w:w="992" w:type="dxa"/>
            <w:tcBorders>
              <w:top w:val="single" w:sz="8" w:space="0" w:color="auto"/>
              <w:left w:val="nil"/>
              <w:bottom w:val="single" w:sz="8"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£138,213</w:t>
            </w:r>
          </w:p>
        </w:tc>
        <w:tc>
          <w:tcPr>
            <w:tcW w:w="709" w:type="dxa"/>
            <w:tcBorders>
              <w:top w:val="single" w:sz="8" w:space="0" w:color="auto"/>
              <w:left w:val="nil"/>
              <w:bottom w:val="single" w:sz="8"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2%</w:t>
            </w:r>
          </w:p>
        </w:tc>
        <w:tc>
          <w:tcPr>
            <w:tcW w:w="992" w:type="dxa"/>
            <w:tcBorders>
              <w:top w:val="single" w:sz="12" w:space="0" w:color="auto"/>
              <w:left w:val="nil"/>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£140,497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2%</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p>
        </w:tc>
      </w:tr>
      <w:tr w:rsidR="00872FF6" w:rsidRPr="00872FF6" w:rsidTr="00872FF6">
        <w:trPr>
          <w:trHeight w:val="3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EXPENDITURE</w:t>
            </w:r>
          </w:p>
        </w:tc>
        <w:tc>
          <w:tcPr>
            <w:tcW w:w="284" w:type="dxa"/>
            <w:tcBorders>
              <w:top w:val="nil"/>
              <w:left w:val="single" w:sz="4" w:space="0" w:color="auto"/>
              <w:bottom w:val="single" w:sz="4" w:space="0" w:color="auto"/>
              <w:right w:val="nil"/>
            </w:tcBorders>
            <w:shd w:val="clear" w:color="auto" w:fill="auto"/>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single" w:sz="4" w:space="0" w:color="auto"/>
              <w:right w:val="nil"/>
            </w:tcBorders>
            <w:shd w:val="clear" w:color="auto" w:fill="auto"/>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637"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single" w:sz="4" w:space="0" w:color="auto"/>
              <w:right w:val="single" w:sz="12" w:space="0" w:color="auto"/>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4" w:space="0" w:color="auto"/>
              <w:right w:val="nil"/>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5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proofErr w:type="gramStart"/>
            <w:r w:rsidRPr="00872FF6">
              <w:rPr>
                <w:rFonts w:ascii="Arial" w:hAnsi="Arial" w:cs="Arial"/>
                <w:sz w:val="12"/>
                <w:szCs w:val="12"/>
              </w:rPr>
              <w:t>Non Activity</w:t>
            </w:r>
            <w:proofErr w:type="gramEnd"/>
            <w:r w:rsidRPr="00872FF6">
              <w:rPr>
                <w:rFonts w:ascii="Arial" w:hAnsi="Arial" w:cs="Arial"/>
                <w:sz w:val="12"/>
                <w:szCs w:val="12"/>
              </w:rPr>
              <w:t xml:space="preserve"> Centre Costs </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£550,049</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£541,805</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£658,925</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22%</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£653,571</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£661,621</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£672,881</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£691,649</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Community/ Firework Events</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£28,979</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£28,756</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£32,700</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14%</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£34,700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£31,100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-10%</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£31,100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£31,100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Grants and Other Funding</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£41,597</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10%</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£40,406</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£66,627</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65%</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£62,627</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£66,627</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£66,627</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£66,627</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rPr>
                <w:rFonts w:ascii="Arial" w:hAnsi="Arial" w:cs="Arial"/>
                <w:b/>
                <w:bCs/>
                <w:color w:val="0000FF"/>
                <w:sz w:val="12"/>
                <w:szCs w:val="12"/>
              </w:rPr>
            </w:pPr>
            <w:r w:rsidRPr="00872FF6">
              <w:rPr>
                <w:rFonts w:ascii="Arial" w:hAnsi="Arial" w:cs="Arial"/>
                <w:b/>
                <w:bCs/>
                <w:color w:val="0000FF"/>
                <w:sz w:val="12"/>
                <w:szCs w:val="12"/>
              </w:rPr>
              <w:t>Office Expenditure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 </w:t>
            </w:r>
          </w:p>
        </w:tc>
        <w:tc>
          <w:tcPr>
            <w:tcW w:w="284" w:type="dxa"/>
            <w:tcBorders>
              <w:top w:val="single" w:sz="4" w:space="0" w:color="auto"/>
              <w:left w:val="nil"/>
              <w:bottom w:val="single" w:sz="4" w:space="0" w:color="auto"/>
              <w:right w:val="nil"/>
            </w:tcBorders>
            <w:shd w:val="clear" w:color="auto" w:fill="auto"/>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£620,625</w:t>
            </w:r>
          </w:p>
        </w:tc>
        <w:tc>
          <w:tcPr>
            <w:tcW w:w="637" w:type="dxa"/>
            <w:tcBorders>
              <w:top w:val="single" w:sz="4" w:space="0" w:color="auto"/>
              <w:left w:val="nil"/>
              <w:bottom w:val="single" w:sz="4" w:space="0" w:color="auto"/>
              <w:right w:val="nil"/>
            </w:tcBorders>
            <w:shd w:val="clear" w:color="000000" w:fill="FFFF99"/>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8"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£610,967</w:t>
            </w:r>
          </w:p>
        </w:tc>
        <w:tc>
          <w:tcPr>
            <w:tcW w:w="763" w:type="dxa"/>
            <w:tcBorders>
              <w:top w:val="single" w:sz="4" w:space="0" w:color="auto"/>
              <w:left w:val="nil"/>
              <w:bottom w:val="single" w:sz="4" w:space="0" w:color="auto"/>
              <w:right w:val="nil"/>
            </w:tcBorders>
            <w:shd w:val="clear" w:color="000000" w:fill="FF99CC"/>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£758,252</w:t>
            </w:r>
          </w:p>
        </w:tc>
        <w:tc>
          <w:tcPr>
            <w:tcW w:w="763" w:type="dxa"/>
            <w:tcBorders>
              <w:top w:val="single" w:sz="4" w:space="0" w:color="auto"/>
              <w:left w:val="nil"/>
              <w:bottom w:val="single" w:sz="4"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£750,898</w:t>
            </w:r>
          </w:p>
        </w:tc>
        <w:tc>
          <w:tcPr>
            <w:tcW w:w="709" w:type="dxa"/>
            <w:tcBorders>
              <w:top w:val="single" w:sz="4" w:space="0" w:color="auto"/>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£759,348</w:t>
            </w:r>
          </w:p>
        </w:tc>
        <w:tc>
          <w:tcPr>
            <w:tcW w:w="709" w:type="dxa"/>
            <w:tcBorders>
              <w:top w:val="single" w:sz="4" w:space="0" w:color="auto"/>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£770,608</w:t>
            </w:r>
          </w:p>
        </w:tc>
        <w:tc>
          <w:tcPr>
            <w:tcW w:w="709" w:type="dxa"/>
            <w:tcBorders>
              <w:top w:val="single" w:sz="4" w:space="0" w:color="auto"/>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£789,376</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FF"/>
                <w:sz w:val="12"/>
                <w:szCs w:val="12"/>
              </w:rPr>
            </w:pPr>
          </w:p>
        </w:tc>
      </w:tr>
      <w:tr w:rsidR="00872FF6" w:rsidRPr="00872FF6" w:rsidTr="00872FF6">
        <w:trPr>
          <w:trHeight w:val="5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xml:space="preserve">Bradley Stoke Jubilee Centre </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£90,765</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15%</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£72,725</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-20%</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£92,487</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27%</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£95,594</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£96,617</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£99,657</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£103,263</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4%</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xml:space="preserve">Brook Way Activity Centre </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£34,079</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£34,854</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£44,109</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27%</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£45,524</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£45,966</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£47,439</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£49,292</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4%</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xml:space="preserve">Baileys Court Activity Centre </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£79,078</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£74,663</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£92,053</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23%</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£92,384</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£94,062</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£97,155</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£100,770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4%</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rPr>
                <w:rFonts w:ascii="Arial" w:hAnsi="Arial" w:cs="Arial"/>
                <w:b/>
                <w:bCs/>
                <w:color w:val="0000FF"/>
                <w:sz w:val="12"/>
                <w:szCs w:val="12"/>
              </w:rPr>
            </w:pPr>
            <w:r w:rsidRPr="00872FF6">
              <w:rPr>
                <w:rFonts w:ascii="Arial" w:hAnsi="Arial" w:cs="Arial"/>
                <w:b/>
                <w:bCs/>
                <w:color w:val="0000FF"/>
                <w:sz w:val="12"/>
                <w:szCs w:val="12"/>
              </w:rPr>
              <w:t>Activity Centres Running Costs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 </w:t>
            </w:r>
          </w:p>
        </w:tc>
        <w:tc>
          <w:tcPr>
            <w:tcW w:w="284" w:type="dxa"/>
            <w:tcBorders>
              <w:top w:val="single" w:sz="4" w:space="0" w:color="auto"/>
              <w:left w:val="nil"/>
              <w:bottom w:val="single" w:sz="4" w:space="0" w:color="auto"/>
              <w:right w:val="nil"/>
            </w:tcBorders>
            <w:shd w:val="clear" w:color="auto" w:fill="auto"/>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£203,922</w:t>
            </w:r>
          </w:p>
        </w:tc>
        <w:tc>
          <w:tcPr>
            <w:tcW w:w="637" w:type="dxa"/>
            <w:tcBorders>
              <w:top w:val="single" w:sz="4" w:space="0" w:color="auto"/>
              <w:left w:val="nil"/>
              <w:bottom w:val="single" w:sz="4" w:space="0" w:color="auto"/>
              <w:right w:val="nil"/>
            </w:tcBorders>
            <w:shd w:val="clear" w:color="000000" w:fill="FFFF99"/>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8"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£182,242</w:t>
            </w:r>
          </w:p>
        </w:tc>
        <w:tc>
          <w:tcPr>
            <w:tcW w:w="763" w:type="dxa"/>
            <w:tcBorders>
              <w:top w:val="single" w:sz="4" w:space="0" w:color="auto"/>
              <w:left w:val="nil"/>
              <w:bottom w:val="single" w:sz="4" w:space="0" w:color="auto"/>
              <w:right w:val="nil"/>
            </w:tcBorders>
            <w:shd w:val="clear" w:color="000000" w:fill="FF99CC"/>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£228,649</w:t>
            </w:r>
          </w:p>
        </w:tc>
        <w:tc>
          <w:tcPr>
            <w:tcW w:w="763" w:type="dxa"/>
            <w:tcBorders>
              <w:top w:val="single" w:sz="4" w:space="0" w:color="auto"/>
              <w:left w:val="nil"/>
              <w:bottom w:val="single" w:sz="4"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£233,501</w:t>
            </w:r>
          </w:p>
        </w:tc>
        <w:tc>
          <w:tcPr>
            <w:tcW w:w="709" w:type="dxa"/>
            <w:tcBorders>
              <w:top w:val="single" w:sz="4" w:space="0" w:color="auto"/>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£236,644</w:t>
            </w:r>
          </w:p>
        </w:tc>
        <w:tc>
          <w:tcPr>
            <w:tcW w:w="709" w:type="dxa"/>
            <w:tcBorders>
              <w:top w:val="single" w:sz="4" w:space="0" w:color="auto"/>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£244,251</w:t>
            </w:r>
          </w:p>
        </w:tc>
        <w:tc>
          <w:tcPr>
            <w:tcW w:w="709" w:type="dxa"/>
            <w:tcBorders>
              <w:top w:val="single" w:sz="4" w:space="0" w:color="auto"/>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FF"/>
                <w:sz w:val="12"/>
                <w:szCs w:val="12"/>
              </w:rPr>
            </w:pPr>
            <w:r w:rsidRPr="00872FF6">
              <w:rPr>
                <w:rFonts w:ascii="Arial" w:hAnsi="Arial" w:cs="Arial"/>
                <w:b/>
                <w:bCs/>
                <w:color w:val="0000FF"/>
                <w:sz w:val="12"/>
                <w:szCs w:val="12"/>
              </w:rPr>
              <w:t>£253,325</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color w:val="0000FF"/>
                <w:sz w:val="12"/>
                <w:szCs w:val="12"/>
              </w:rPr>
            </w:pPr>
            <w:r w:rsidRPr="00872FF6">
              <w:rPr>
                <w:rFonts w:ascii="Arial" w:hAnsi="Arial" w:cs="Arial"/>
                <w:color w:val="0000FF"/>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FF"/>
                <w:sz w:val="12"/>
                <w:szCs w:val="12"/>
              </w:rPr>
            </w:pPr>
          </w:p>
        </w:tc>
      </w:tr>
      <w:tr w:rsidR="00872FF6" w:rsidRPr="00872FF6" w:rsidTr="00872FF6">
        <w:trPr>
          <w:trHeight w:val="5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xml:space="preserve">New Assets </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£12,802</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-62%</w:t>
            </w:r>
          </w:p>
        </w:tc>
        <w:tc>
          <w:tcPr>
            <w:tcW w:w="888" w:type="dxa"/>
            <w:tcBorders>
              <w:top w:val="nil"/>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£14,634</w:t>
            </w:r>
          </w:p>
        </w:tc>
        <w:tc>
          <w:tcPr>
            <w:tcW w:w="763" w:type="dxa"/>
            <w:tcBorders>
              <w:top w:val="nil"/>
              <w:left w:val="nil"/>
              <w:bottom w:val="nil"/>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14%</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£20,040</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37%</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£18,900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£18,900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£18,900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£18,900</w:t>
            </w:r>
          </w:p>
        </w:tc>
        <w:tc>
          <w:tcPr>
            <w:tcW w:w="709"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68"/>
        </w:trPr>
        <w:tc>
          <w:tcPr>
            <w:tcW w:w="2410"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Planned Projects</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£278,880</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888" w:type="dxa"/>
            <w:tcBorders>
              <w:top w:val="nil"/>
              <w:left w:val="single" w:sz="4" w:space="0" w:color="auto"/>
              <w:bottom w:val="single" w:sz="12"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£45,992</w:t>
            </w:r>
          </w:p>
        </w:tc>
        <w:tc>
          <w:tcPr>
            <w:tcW w:w="763" w:type="dxa"/>
            <w:tcBorders>
              <w:top w:val="nil"/>
              <w:left w:val="nil"/>
              <w:bottom w:val="single" w:sz="12" w:space="0" w:color="auto"/>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£305</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w:t>
            </w:r>
          </w:p>
        </w:tc>
        <w:tc>
          <w:tcPr>
            <w:tcW w:w="709" w:type="dxa"/>
            <w:tcBorders>
              <w:top w:val="nil"/>
              <w:left w:val="nil"/>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38"/>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Total Expenditure as per budget overleaf</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single" w:sz="12" w:space="0" w:color="auto"/>
              <w:left w:val="nil"/>
              <w:bottom w:val="single" w:sz="12" w:space="0" w:color="auto"/>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£1,116,228</w:t>
            </w:r>
          </w:p>
        </w:tc>
        <w:tc>
          <w:tcPr>
            <w:tcW w:w="637" w:type="dxa"/>
            <w:tcBorders>
              <w:top w:val="single" w:sz="12" w:space="0" w:color="auto"/>
              <w:left w:val="nil"/>
              <w:bottom w:val="single" w:sz="12" w:space="0" w:color="auto"/>
              <w:right w:val="single" w:sz="12"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31%</w:t>
            </w:r>
          </w:p>
        </w:tc>
        <w:tc>
          <w:tcPr>
            <w:tcW w:w="888" w:type="dxa"/>
            <w:tcBorders>
              <w:top w:val="nil"/>
              <w:left w:val="nil"/>
              <w:bottom w:val="single" w:sz="12"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£853,835</w:t>
            </w:r>
          </w:p>
        </w:tc>
        <w:tc>
          <w:tcPr>
            <w:tcW w:w="763" w:type="dxa"/>
            <w:tcBorders>
              <w:top w:val="nil"/>
              <w:left w:val="nil"/>
              <w:bottom w:val="single" w:sz="12" w:space="0" w:color="auto"/>
              <w:right w:val="nil"/>
            </w:tcBorders>
            <w:shd w:val="clear" w:color="000000" w:fill="FF99CC"/>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-24%</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£1,007,246</w:t>
            </w:r>
          </w:p>
        </w:tc>
        <w:tc>
          <w:tcPr>
            <w:tcW w:w="763" w:type="dxa"/>
            <w:tcBorders>
              <w:top w:val="single" w:sz="12" w:space="0" w:color="auto"/>
              <w:left w:val="nil"/>
              <w:bottom w:val="single" w:sz="12"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18%</w:t>
            </w:r>
          </w:p>
        </w:tc>
        <w:tc>
          <w:tcPr>
            <w:tcW w:w="992" w:type="dxa"/>
            <w:tcBorders>
              <w:top w:val="single" w:sz="12" w:space="0" w:color="auto"/>
              <w:left w:val="nil"/>
              <w:bottom w:val="single" w:sz="12"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£1,003,300</w:t>
            </w:r>
          </w:p>
        </w:tc>
        <w:tc>
          <w:tcPr>
            <w:tcW w:w="709" w:type="dxa"/>
            <w:tcBorders>
              <w:top w:val="single" w:sz="12" w:space="0" w:color="auto"/>
              <w:left w:val="nil"/>
              <w:bottom w:val="single" w:sz="12" w:space="0" w:color="auto"/>
              <w:right w:val="single" w:sz="12" w:space="0" w:color="auto"/>
            </w:tcBorders>
            <w:shd w:val="clear" w:color="000000" w:fill="99CC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0%</w:t>
            </w:r>
          </w:p>
        </w:tc>
        <w:tc>
          <w:tcPr>
            <w:tcW w:w="992"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£1,014,892</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w:t>
            </w:r>
          </w:p>
        </w:tc>
        <w:tc>
          <w:tcPr>
            <w:tcW w:w="992"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£1,033,759</w:t>
            </w:r>
          </w:p>
        </w:tc>
        <w:tc>
          <w:tcPr>
            <w:tcW w:w="709" w:type="dxa"/>
            <w:tcBorders>
              <w:top w:val="single" w:sz="12" w:space="0" w:color="auto"/>
              <w:left w:val="nil"/>
              <w:bottom w:val="single" w:sz="12" w:space="0" w:color="auto"/>
              <w:right w:val="single" w:sz="12" w:space="0" w:color="auto"/>
            </w:tcBorders>
            <w:shd w:val="clear" w:color="000000" w:fill="C4D79B"/>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2%</w:t>
            </w:r>
          </w:p>
        </w:tc>
        <w:tc>
          <w:tcPr>
            <w:tcW w:w="992"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£1,061,601</w:t>
            </w:r>
          </w:p>
        </w:tc>
        <w:tc>
          <w:tcPr>
            <w:tcW w:w="709" w:type="dxa"/>
            <w:tcBorders>
              <w:top w:val="nil"/>
              <w:left w:val="nil"/>
              <w:bottom w:val="single" w:sz="12" w:space="0" w:color="auto"/>
              <w:right w:val="single" w:sz="12"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3%</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p>
        </w:tc>
      </w:tr>
      <w:tr w:rsidR="00872FF6" w:rsidRPr="00872FF6" w:rsidTr="00872FF6">
        <w:trPr>
          <w:trHeight w:val="54"/>
        </w:trPr>
        <w:tc>
          <w:tcPr>
            <w:tcW w:w="2410" w:type="dxa"/>
            <w:tcBorders>
              <w:top w:val="nil"/>
              <w:left w:val="single" w:sz="4" w:space="0" w:color="auto"/>
              <w:bottom w:val="nil"/>
              <w:right w:val="single" w:sz="4" w:space="0" w:color="auto"/>
            </w:tcBorders>
            <w:shd w:val="clear" w:color="auto" w:fill="auto"/>
            <w:vAlign w:val="bottom"/>
            <w:hideMark/>
          </w:tcPr>
          <w:p w:rsidR="00872FF6" w:rsidRPr="00872FF6" w:rsidRDefault="00872FF6">
            <w:pPr>
              <w:rPr>
                <w:rFonts w:ascii="Arial" w:hAnsi="Arial" w:cs="Arial"/>
                <w:color w:val="000000"/>
                <w:sz w:val="12"/>
                <w:szCs w:val="12"/>
              </w:rPr>
            </w:pPr>
            <w:r w:rsidRPr="00872FF6">
              <w:rPr>
                <w:rFonts w:ascii="Arial" w:hAnsi="Arial" w:cs="Arial"/>
                <w:color w:val="000000"/>
                <w:sz w:val="12"/>
                <w:szCs w:val="12"/>
              </w:rPr>
              <w:t>Adjustments to/from Reserves at Year End</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£68,506</w:t>
            </w:r>
          </w:p>
        </w:tc>
        <w:tc>
          <w:tcPr>
            <w:tcW w:w="637" w:type="dxa"/>
            <w:tcBorders>
              <w:top w:val="nil"/>
              <w:left w:val="nil"/>
              <w:bottom w:val="nil"/>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8" w:type="dxa"/>
            <w:tcBorders>
              <w:top w:val="nil"/>
              <w:left w:val="single" w:sz="4" w:space="0" w:color="auto"/>
              <w:bottom w:val="single" w:sz="12"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£104,270</w:t>
            </w:r>
          </w:p>
        </w:tc>
        <w:tc>
          <w:tcPr>
            <w:tcW w:w="763" w:type="dxa"/>
            <w:tcBorders>
              <w:top w:val="nil"/>
              <w:left w:val="nil"/>
              <w:bottom w:val="single" w:sz="12" w:space="0" w:color="auto"/>
              <w:right w:val="nil"/>
            </w:tcBorders>
            <w:shd w:val="clear" w:color="000000" w:fill="FF99CC"/>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884" w:type="dxa"/>
            <w:gridSpan w:val="2"/>
            <w:tcBorders>
              <w:top w:val="nil"/>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-£54,556</w:t>
            </w:r>
          </w:p>
        </w:tc>
        <w:tc>
          <w:tcPr>
            <w:tcW w:w="763" w:type="dxa"/>
            <w:tcBorders>
              <w:top w:val="nil"/>
              <w:left w:val="nil"/>
              <w:bottom w:val="nil"/>
              <w:right w:val="single" w:sz="12" w:space="0" w:color="auto"/>
            </w:tcBorders>
            <w:shd w:val="clear" w:color="000000" w:fill="FABF8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-£35,500</w:t>
            </w:r>
          </w:p>
        </w:tc>
        <w:tc>
          <w:tcPr>
            <w:tcW w:w="709" w:type="dxa"/>
            <w:tcBorders>
              <w:top w:val="nil"/>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-£37,000</w:t>
            </w:r>
          </w:p>
        </w:tc>
        <w:tc>
          <w:tcPr>
            <w:tcW w:w="709" w:type="dxa"/>
            <w:tcBorders>
              <w:top w:val="nil"/>
              <w:left w:val="nil"/>
              <w:bottom w:val="nil"/>
              <w:right w:val="single" w:sz="4" w:space="0" w:color="auto"/>
            </w:tcBorders>
            <w:shd w:val="clear" w:color="000000" w:fill="CC99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-£47,500</w:t>
            </w:r>
          </w:p>
        </w:tc>
        <w:tc>
          <w:tcPr>
            <w:tcW w:w="709" w:type="dxa"/>
            <w:tcBorders>
              <w:top w:val="nil"/>
              <w:left w:val="nil"/>
              <w:bottom w:val="nil"/>
              <w:right w:val="single" w:sz="4" w:space="0" w:color="auto"/>
            </w:tcBorders>
            <w:shd w:val="clear" w:color="000000" w:fill="C4D79B"/>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-£65,500</w:t>
            </w:r>
          </w:p>
        </w:tc>
        <w:tc>
          <w:tcPr>
            <w:tcW w:w="709" w:type="dxa"/>
            <w:tcBorders>
              <w:top w:val="nil"/>
              <w:left w:val="nil"/>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38"/>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Total budget + reserve adjustment</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single" w:sz="12" w:space="0" w:color="auto"/>
              <w:left w:val="nil"/>
              <w:bottom w:val="single" w:sz="12" w:space="0" w:color="auto"/>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£1,184,735</w:t>
            </w:r>
          </w:p>
        </w:tc>
        <w:tc>
          <w:tcPr>
            <w:tcW w:w="637" w:type="dxa"/>
            <w:tcBorders>
              <w:top w:val="single" w:sz="12" w:space="0" w:color="auto"/>
              <w:left w:val="nil"/>
              <w:bottom w:val="single" w:sz="12" w:space="0" w:color="auto"/>
              <w:right w:val="single" w:sz="12"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15%</w:t>
            </w:r>
          </w:p>
        </w:tc>
        <w:tc>
          <w:tcPr>
            <w:tcW w:w="888" w:type="dxa"/>
            <w:tcBorders>
              <w:top w:val="nil"/>
              <w:left w:val="nil"/>
              <w:bottom w:val="single" w:sz="12"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£958,105</w:t>
            </w:r>
          </w:p>
        </w:tc>
        <w:tc>
          <w:tcPr>
            <w:tcW w:w="763" w:type="dxa"/>
            <w:tcBorders>
              <w:top w:val="nil"/>
              <w:left w:val="nil"/>
              <w:bottom w:val="single" w:sz="12" w:space="0" w:color="auto"/>
              <w:right w:val="nil"/>
            </w:tcBorders>
            <w:shd w:val="clear" w:color="000000" w:fill="FF99CC"/>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-19%</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£952,690</w:t>
            </w:r>
          </w:p>
        </w:tc>
        <w:tc>
          <w:tcPr>
            <w:tcW w:w="763" w:type="dxa"/>
            <w:tcBorders>
              <w:top w:val="single" w:sz="12" w:space="0" w:color="auto"/>
              <w:left w:val="nil"/>
              <w:bottom w:val="single" w:sz="12"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w:t>
            </w:r>
          </w:p>
        </w:tc>
        <w:tc>
          <w:tcPr>
            <w:tcW w:w="992" w:type="dxa"/>
            <w:tcBorders>
              <w:top w:val="single" w:sz="12" w:space="0" w:color="auto"/>
              <w:left w:val="nil"/>
              <w:bottom w:val="single" w:sz="12"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£967,800</w:t>
            </w:r>
          </w:p>
        </w:tc>
        <w:tc>
          <w:tcPr>
            <w:tcW w:w="709" w:type="dxa"/>
            <w:tcBorders>
              <w:top w:val="single" w:sz="12" w:space="0" w:color="auto"/>
              <w:left w:val="nil"/>
              <w:bottom w:val="single" w:sz="12" w:space="0" w:color="auto"/>
              <w:right w:val="single" w:sz="12" w:space="0" w:color="auto"/>
            </w:tcBorders>
            <w:shd w:val="clear" w:color="000000" w:fill="99CC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2%</w:t>
            </w:r>
          </w:p>
        </w:tc>
        <w:tc>
          <w:tcPr>
            <w:tcW w:w="992"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£977,892</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w:t>
            </w:r>
          </w:p>
        </w:tc>
        <w:tc>
          <w:tcPr>
            <w:tcW w:w="992"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£986,259</w:t>
            </w:r>
          </w:p>
        </w:tc>
        <w:tc>
          <w:tcPr>
            <w:tcW w:w="709" w:type="dxa"/>
            <w:tcBorders>
              <w:top w:val="single" w:sz="12" w:space="0" w:color="auto"/>
              <w:left w:val="nil"/>
              <w:bottom w:val="single" w:sz="12" w:space="0" w:color="auto"/>
              <w:right w:val="single" w:sz="12" w:space="0" w:color="auto"/>
            </w:tcBorders>
            <w:shd w:val="clear" w:color="000000" w:fill="C4D79B"/>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w:t>
            </w:r>
          </w:p>
        </w:tc>
        <w:tc>
          <w:tcPr>
            <w:tcW w:w="992"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£996,101</w:t>
            </w:r>
          </w:p>
        </w:tc>
        <w:tc>
          <w:tcPr>
            <w:tcW w:w="709" w:type="dxa"/>
            <w:tcBorders>
              <w:top w:val="nil"/>
              <w:left w:val="nil"/>
              <w:bottom w:val="single" w:sz="12" w:space="0" w:color="auto"/>
              <w:right w:val="single" w:sz="12"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1%</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color w:val="000000"/>
                <w:sz w:val="12"/>
                <w:szCs w:val="12"/>
              </w:rPr>
            </w:pPr>
          </w:p>
        </w:tc>
      </w:tr>
      <w:tr w:rsidR="00872FF6" w:rsidRPr="00872FF6" w:rsidTr="00872FF6">
        <w:trPr>
          <w:trHeight w:val="120"/>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284" w:type="dxa"/>
            <w:tcBorders>
              <w:top w:val="nil"/>
              <w:left w:val="single" w:sz="4" w:space="0" w:color="auto"/>
              <w:bottom w:val="nil"/>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884" w:type="dxa"/>
            <w:gridSpan w:val="2"/>
            <w:tcBorders>
              <w:top w:val="nil"/>
              <w:left w:val="single" w:sz="4" w:space="0" w:color="auto"/>
              <w:bottom w:val="nil"/>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637"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888" w:type="dxa"/>
            <w:tcBorders>
              <w:top w:val="nil"/>
              <w:left w:val="nil"/>
              <w:bottom w:val="single" w:sz="4" w:space="0" w:color="auto"/>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763" w:type="dxa"/>
            <w:tcBorders>
              <w:top w:val="nil"/>
              <w:left w:val="nil"/>
              <w:bottom w:val="single" w:sz="4" w:space="0" w:color="auto"/>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nil"/>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763" w:type="dxa"/>
            <w:tcBorders>
              <w:top w:val="nil"/>
              <w:left w:val="nil"/>
              <w:bottom w:val="nil"/>
              <w:right w:val="single" w:sz="12"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992" w:type="dxa"/>
            <w:tcBorders>
              <w:top w:val="nil"/>
              <w:left w:val="single" w:sz="4" w:space="0" w:color="auto"/>
              <w:bottom w:val="nil"/>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single" w:sz="4" w:space="0" w:color="auto"/>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r>
      <w:tr w:rsidR="00872FF6" w:rsidRPr="00872FF6" w:rsidTr="00872FF6">
        <w:trPr>
          <w:trHeight w:val="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SHORTFALL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872FF6" w:rsidRPr="00872FF6" w:rsidRDefault="00872FF6">
            <w:pPr>
              <w:jc w:val="center"/>
              <w:rPr>
                <w:rFonts w:ascii="Arial" w:hAnsi="Arial" w:cs="Arial"/>
                <w:sz w:val="12"/>
                <w:szCs w:val="12"/>
              </w:rPr>
            </w:pPr>
          </w:p>
        </w:tc>
        <w:tc>
          <w:tcPr>
            <w:tcW w:w="284" w:type="dxa"/>
            <w:tcBorders>
              <w:top w:val="single" w:sz="4" w:space="0" w:color="auto"/>
              <w:left w:val="nil"/>
              <w:bottom w:val="single" w:sz="4" w:space="0" w:color="auto"/>
              <w:right w:val="nil"/>
            </w:tcBorders>
            <w:shd w:val="clear" w:color="auto" w:fill="auto"/>
            <w:vAlign w:val="bottom"/>
          </w:tcPr>
          <w:p w:rsidR="00872FF6" w:rsidRPr="00872FF6" w:rsidRDefault="00872FF6">
            <w:pPr>
              <w:jc w:val="center"/>
              <w:rPr>
                <w:rFonts w:ascii="Arial" w:hAnsi="Arial" w:cs="Arial"/>
                <w:sz w:val="12"/>
                <w:szCs w:val="12"/>
              </w:rPr>
            </w:pP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2015/16</w:t>
            </w:r>
          </w:p>
        </w:tc>
        <w:tc>
          <w:tcPr>
            <w:tcW w:w="637" w:type="dxa"/>
            <w:tcBorders>
              <w:top w:val="single" w:sz="4" w:space="0" w:color="auto"/>
              <w:left w:val="nil"/>
              <w:bottom w:val="single" w:sz="4" w:space="0" w:color="auto"/>
              <w:right w:val="nil"/>
            </w:tcBorders>
            <w:shd w:val="clear" w:color="000000" w:fill="FFFF99"/>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888" w:type="dxa"/>
            <w:tcBorders>
              <w:top w:val="nil"/>
              <w:left w:val="single" w:sz="4" w:space="0" w:color="auto"/>
              <w:bottom w:val="single" w:sz="4" w:space="0" w:color="auto"/>
              <w:right w:val="single" w:sz="4" w:space="0" w:color="auto"/>
            </w:tcBorders>
            <w:shd w:val="clear" w:color="000000" w:fill="FF99CC"/>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2016/17</w:t>
            </w:r>
          </w:p>
        </w:tc>
        <w:tc>
          <w:tcPr>
            <w:tcW w:w="763" w:type="dxa"/>
            <w:tcBorders>
              <w:top w:val="nil"/>
              <w:left w:val="nil"/>
              <w:bottom w:val="single" w:sz="4" w:space="0" w:color="auto"/>
              <w:right w:val="nil"/>
            </w:tcBorders>
            <w:shd w:val="clear" w:color="000000" w:fill="FF99CC"/>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ABF8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2017/18</w:t>
            </w:r>
          </w:p>
        </w:tc>
        <w:tc>
          <w:tcPr>
            <w:tcW w:w="763" w:type="dxa"/>
            <w:tcBorders>
              <w:top w:val="single" w:sz="4" w:space="0" w:color="auto"/>
              <w:left w:val="nil"/>
              <w:bottom w:val="single" w:sz="4" w:space="0" w:color="auto"/>
              <w:right w:val="single" w:sz="12" w:space="0" w:color="auto"/>
            </w:tcBorders>
            <w:shd w:val="clear" w:color="000000" w:fill="FABF8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99CC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2018/19</w:t>
            </w:r>
          </w:p>
        </w:tc>
        <w:tc>
          <w:tcPr>
            <w:tcW w:w="709" w:type="dxa"/>
            <w:tcBorders>
              <w:top w:val="single" w:sz="4" w:space="0" w:color="auto"/>
              <w:left w:val="nil"/>
              <w:bottom w:val="single" w:sz="4" w:space="0" w:color="auto"/>
              <w:right w:val="single" w:sz="4" w:space="0" w:color="auto"/>
            </w:tcBorders>
            <w:shd w:val="clear" w:color="000000" w:fill="99CC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CC99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2019/20</w:t>
            </w:r>
          </w:p>
        </w:tc>
        <w:tc>
          <w:tcPr>
            <w:tcW w:w="709" w:type="dxa"/>
            <w:tcBorders>
              <w:top w:val="single" w:sz="4" w:space="0" w:color="auto"/>
              <w:left w:val="nil"/>
              <w:bottom w:val="single" w:sz="4" w:space="0" w:color="auto"/>
              <w:right w:val="single" w:sz="4" w:space="0" w:color="auto"/>
            </w:tcBorders>
            <w:shd w:val="clear" w:color="000000" w:fill="CC99FF"/>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2019/20</w:t>
            </w:r>
          </w:p>
        </w:tc>
        <w:tc>
          <w:tcPr>
            <w:tcW w:w="709" w:type="dxa"/>
            <w:tcBorders>
              <w:top w:val="single" w:sz="4" w:space="0" w:color="auto"/>
              <w:left w:val="nil"/>
              <w:bottom w:val="single" w:sz="4" w:space="0" w:color="auto"/>
              <w:right w:val="single" w:sz="4" w:space="0" w:color="auto"/>
            </w:tcBorders>
            <w:shd w:val="clear" w:color="000000" w:fill="C4D79B"/>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FFFF99"/>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Projected Budget 2020/21</w:t>
            </w:r>
          </w:p>
        </w:tc>
        <w:tc>
          <w:tcPr>
            <w:tcW w:w="709" w:type="dxa"/>
            <w:tcBorders>
              <w:top w:val="single" w:sz="4" w:space="0" w:color="auto"/>
              <w:left w:val="nil"/>
              <w:bottom w:val="single" w:sz="4" w:space="0" w:color="auto"/>
              <w:right w:val="single" w:sz="4" w:space="0" w:color="auto"/>
            </w:tcBorders>
            <w:shd w:val="clear" w:color="000000" w:fill="FFFF99"/>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change</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58"/>
        </w:trPr>
        <w:tc>
          <w:tcPr>
            <w:tcW w:w="2410"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r w:rsidRPr="00872FF6">
              <w:rPr>
                <w:rFonts w:ascii="Arial" w:hAnsi="Arial" w:cs="Arial"/>
                <w:sz w:val="12"/>
                <w:szCs w:val="12"/>
              </w:rPr>
              <w:t>Difference Between Income and Expenditure</w:t>
            </w:r>
          </w:p>
        </w:tc>
        <w:tc>
          <w:tcPr>
            <w:tcW w:w="284" w:type="dxa"/>
            <w:tcBorders>
              <w:top w:val="nil"/>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£803,971</w:t>
            </w:r>
          </w:p>
        </w:tc>
        <w:tc>
          <w:tcPr>
            <w:tcW w:w="637" w:type="dxa"/>
            <w:tcBorders>
              <w:top w:val="nil"/>
              <w:left w:val="nil"/>
              <w:bottom w:val="single" w:sz="4" w:space="0" w:color="auto"/>
              <w:right w:val="nil"/>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-3%</w:t>
            </w:r>
          </w:p>
        </w:tc>
        <w:tc>
          <w:tcPr>
            <w:tcW w:w="888" w:type="dxa"/>
            <w:tcBorders>
              <w:top w:val="nil"/>
              <w:left w:val="single" w:sz="4" w:space="0" w:color="auto"/>
              <w:bottom w:val="single" w:sz="4" w:space="0" w:color="auto"/>
              <w:right w:val="single" w:sz="4" w:space="0" w:color="auto"/>
            </w:tcBorders>
            <w:shd w:val="clear" w:color="000000" w:fill="FF99CC"/>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£807,370</w:t>
            </w:r>
          </w:p>
        </w:tc>
        <w:tc>
          <w:tcPr>
            <w:tcW w:w="763" w:type="dxa"/>
            <w:tcBorders>
              <w:top w:val="nil"/>
              <w:left w:val="nil"/>
              <w:bottom w:val="single" w:sz="4" w:space="0" w:color="auto"/>
              <w:right w:val="nil"/>
            </w:tcBorders>
            <w:shd w:val="clear" w:color="000000" w:fill="FF99CC"/>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884" w:type="dxa"/>
            <w:gridSpan w:val="2"/>
            <w:tcBorders>
              <w:top w:val="nil"/>
              <w:left w:val="single" w:sz="12" w:space="0" w:color="auto"/>
              <w:bottom w:val="single" w:sz="4" w:space="0" w:color="auto"/>
              <w:right w:val="single" w:sz="4" w:space="0" w:color="auto"/>
            </w:tcBorders>
            <w:shd w:val="clear" w:color="000000" w:fill="FABF8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£809,159</w:t>
            </w:r>
          </w:p>
        </w:tc>
        <w:tc>
          <w:tcPr>
            <w:tcW w:w="763" w:type="dxa"/>
            <w:tcBorders>
              <w:top w:val="nil"/>
              <w:left w:val="nil"/>
              <w:bottom w:val="single" w:sz="4" w:space="0" w:color="auto"/>
              <w:right w:val="single" w:sz="12" w:space="0" w:color="auto"/>
            </w:tcBorders>
            <w:shd w:val="clear" w:color="000000" w:fill="FABF8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0%</w:t>
            </w:r>
          </w:p>
        </w:tc>
        <w:tc>
          <w:tcPr>
            <w:tcW w:w="992" w:type="dxa"/>
            <w:tcBorders>
              <w:top w:val="nil"/>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£827,270</w:t>
            </w:r>
          </w:p>
        </w:tc>
        <w:tc>
          <w:tcPr>
            <w:tcW w:w="709" w:type="dxa"/>
            <w:tcBorders>
              <w:top w:val="nil"/>
              <w:left w:val="nil"/>
              <w:bottom w:val="single" w:sz="4" w:space="0" w:color="auto"/>
              <w:right w:val="single" w:sz="4" w:space="0" w:color="auto"/>
            </w:tcBorders>
            <w:shd w:val="clear" w:color="000000" w:fill="99CC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£841,937</w:t>
            </w:r>
          </w:p>
        </w:tc>
        <w:tc>
          <w:tcPr>
            <w:tcW w:w="709" w:type="dxa"/>
            <w:tcBorders>
              <w:top w:val="nil"/>
              <w:left w:val="nil"/>
              <w:bottom w:val="single" w:sz="4" w:space="0" w:color="auto"/>
              <w:right w:val="single" w:sz="4" w:space="0" w:color="auto"/>
            </w:tcBorders>
            <w:shd w:val="clear" w:color="000000" w:fill="CC99FF"/>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£848,046</w:t>
            </w:r>
          </w:p>
        </w:tc>
        <w:tc>
          <w:tcPr>
            <w:tcW w:w="709" w:type="dxa"/>
            <w:tcBorders>
              <w:top w:val="nil"/>
              <w:left w:val="nil"/>
              <w:bottom w:val="single" w:sz="4" w:space="0" w:color="auto"/>
              <w:right w:val="single" w:sz="4" w:space="0" w:color="auto"/>
            </w:tcBorders>
            <w:shd w:val="clear" w:color="000000" w:fill="C4D79B"/>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£855,604</w:t>
            </w:r>
          </w:p>
        </w:tc>
        <w:tc>
          <w:tcPr>
            <w:tcW w:w="709" w:type="dxa"/>
            <w:tcBorders>
              <w:top w:val="nil"/>
              <w:left w:val="nil"/>
              <w:bottom w:val="single" w:sz="4" w:space="0" w:color="auto"/>
              <w:right w:val="single" w:sz="4" w:space="0" w:color="auto"/>
            </w:tcBorders>
            <w:shd w:val="clear" w:color="000000" w:fill="FFFF99"/>
            <w:noWrap/>
            <w:vAlign w:val="bottom"/>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1%</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color w:val="000000"/>
                <w:sz w:val="12"/>
                <w:szCs w:val="12"/>
              </w:rPr>
            </w:pPr>
          </w:p>
        </w:tc>
      </w:tr>
      <w:tr w:rsidR="00872FF6" w:rsidRPr="00872FF6" w:rsidTr="00872FF6">
        <w:trPr>
          <w:trHeight w:val="58"/>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LESS/PLUS:</w:t>
            </w:r>
          </w:p>
        </w:tc>
        <w:tc>
          <w:tcPr>
            <w:tcW w:w="284" w:type="dxa"/>
            <w:tcBorders>
              <w:top w:val="single" w:sz="4" w:space="0" w:color="auto"/>
              <w:left w:val="single" w:sz="4" w:space="0" w:color="auto"/>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single" w:sz="4" w:space="0" w:color="auto"/>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72"/>
        </w:trPr>
        <w:tc>
          <w:tcPr>
            <w:tcW w:w="2410" w:type="dxa"/>
            <w:tcBorders>
              <w:top w:val="nil"/>
              <w:left w:val="nil"/>
              <w:bottom w:val="nil"/>
              <w:right w:val="nil"/>
            </w:tcBorders>
            <w:shd w:val="clear" w:color="auto" w:fill="auto"/>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Previous confirmed year end C/</w:t>
            </w:r>
            <w:proofErr w:type="spellStart"/>
            <w:r w:rsidRPr="00872FF6">
              <w:rPr>
                <w:rFonts w:ascii="Arial" w:hAnsi="Arial" w:cs="Arial"/>
                <w:b/>
                <w:bCs/>
                <w:sz w:val="12"/>
                <w:szCs w:val="12"/>
              </w:rPr>
              <w:t>fwd</w:t>
            </w:r>
            <w:proofErr w:type="spellEnd"/>
          </w:p>
        </w:tc>
        <w:tc>
          <w:tcPr>
            <w:tcW w:w="284" w:type="dxa"/>
            <w:tcBorders>
              <w:top w:val="nil"/>
              <w:left w:val="single" w:sz="4" w:space="0" w:color="auto"/>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nil"/>
              <w:bottom w:val="single" w:sz="4" w:space="0" w:color="auto"/>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63" w:type="dxa"/>
            <w:tcBorders>
              <w:top w:val="nil"/>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58"/>
        </w:trPr>
        <w:tc>
          <w:tcPr>
            <w:tcW w:w="2410" w:type="dxa"/>
            <w:tcBorders>
              <w:top w:val="nil"/>
              <w:left w:val="nil"/>
              <w:bottom w:val="nil"/>
              <w:right w:val="nil"/>
            </w:tcBorders>
            <w:shd w:val="clear" w:color="auto" w:fill="auto"/>
            <w:vAlign w:val="bottom"/>
            <w:hideMark/>
          </w:tcPr>
          <w:p w:rsidR="00872FF6" w:rsidRPr="00872FF6" w:rsidRDefault="00872FF6">
            <w:pPr>
              <w:rPr>
                <w:rFonts w:ascii="Arial" w:hAnsi="Arial" w:cs="Arial"/>
                <w:b/>
                <w:bCs/>
                <w:color w:val="000000"/>
                <w:sz w:val="12"/>
                <w:szCs w:val="12"/>
              </w:rPr>
            </w:pPr>
            <w:r w:rsidRPr="00872FF6">
              <w:rPr>
                <w:rFonts w:ascii="Arial" w:hAnsi="Arial" w:cs="Arial"/>
                <w:b/>
                <w:bCs/>
                <w:color w:val="FF0000"/>
                <w:sz w:val="12"/>
                <w:szCs w:val="12"/>
              </w:rPr>
              <w:t>Confirmed</w:t>
            </w:r>
            <w:r w:rsidRPr="00872FF6">
              <w:rPr>
                <w:rFonts w:ascii="Arial" w:hAnsi="Arial" w:cs="Arial"/>
                <w:b/>
                <w:bCs/>
                <w:color w:val="000000"/>
                <w:sz w:val="12"/>
                <w:szCs w:val="12"/>
              </w:rPr>
              <w:t xml:space="preserve">/Estimated Previous Year End Balance C/FWD </w:t>
            </w:r>
          </w:p>
        </w:tc>
        <w:tc>
          <w:tcPr>
            <w:tcW w:w="284" w:type="dxa"/>
            <w:tcBorders>
              <w:top w:val="single" w:sz="4" w:space="0" w:color="auto"/>
              <w:left w:val="nil"/>
              <w:bottom w:val="nil"/>
              <w:right w:val="single" w:sz="4" w:space="0" w:color="auto"/>
            </w:tcBorders>
            <w:shd w:val="clear" w:color="auto" w:fill="auto"/>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 </w:t>
            </w:r>
          </w:p>
        </w:tc>
        <w:tc>
          <w:tcPr>
            <w:tcW w:w="284" w:type="dxa"/>
            <w:tcBorders>
              <w:top w:val="nil"/>
              <w:left w:val="nil"/>
              <w:bottom w:val="nil"/>
              <w:right w:val="nil"/>
            </w:tcBorders>
            <w:shd w:val="clear" w:color="auto" w:fill="auto"/>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FF0000"/>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£43,845.34</w:t>
            </w:r>
          </w:p>
        </w:tc>
        <w:tc>
          <w:tcPr>
            <w:tcW w:w="637"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888" w:type="dxa"/>
            <w:tcBorders>
              <w:top w:val="nil"/>
              <w:left w:val="single" w:sz="4" w:space="0" w:color="auto"/>
              <w:bottom w:val="nil"/>
              <w:right w:val="single" w:sz="4" w:space="0" w:color="auto"/>
            </w:tcBorders>
            <w:shd w:val="clear" w:color="000000" w:fill="FF0000"/>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£53,557.35</w:t>
            </w:r>
          </w:p>
        </w:tc>
        <w:tc>
          <w:tcPr>
            <w:tcW w:w="763"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£60,256.66</w:t>
            </w:r>
          </w:p>
        </w:tc>
        <w:tc>
          <w:tcPr>
            <w:tcW w:w="763" w:type="dxa"/>
            <w:tcBorders>
              <w:top w:val="nil"/>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4" w:space="0" w:color="auto"/>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£58,215.82</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4" w:space="0" w:color="auto"/>
              <w:left w:val="single" w:sz="4" w:space="0" w:color="auto"/>
              <w:bottom w:val="nil"/>
              <w:right w:val="single" w:sz="4" w:space="0" w:color="auto"/>
            </w:tcBorders>
            <w:shd w:val="clear" w:color="000000" w:fill="CC99FF"/>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£59,353.21</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4" w:space="0" w:color="auto"/>
              <w:left w:val="single" w:sz="4" w:space="0" w:color="auto"/>
              <w:bottom w:val="nil"/>
              <w:right w:val="single" w:sz="4" w:space="0" w:color="auto"/>
            </w:tcBorders>
            <w:shd w:val="clear" w:color="000000" w:fill="C4D79B"/>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£54,362.22</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4" w:space="0" w:color="auto"/>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£56,488.56</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color w:val="FF0000"/>
                <w:sz w:val="12"/>
                <w:szCs w:val="12"/>
              </w:rPr>
            </w:pPr>
          </w:p>
        </w:tc>
      </w:tr>
      <w:tr w:rsidR="00872FF6" w:rsidRPr="00872FF6" w:rsidTr="00872FF6">
        <w:trPr>
          <w:trHeight w:val="58"/>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Full Budget Funding Shortfall</w:t>
            </w:r>
          </w:p>
        </w:tc>
        <w:tc>
          <w:tcPr>
            <w:tcW w:w="284" w:type="dxa"/>
            <w:tcBorders>
              <w:top w:val="single" w:sz="4" w:space="0" w:color="auto"/>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nil"/>
              <w:left w:val="nil"/>
              <w:bottom w:val="nil"/>
              <w:right w:val="nil"/>
            </w:tcBorders>
            <w:shd w:val="clear" w:color="auto" w:fill="auto"/>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£760,125.65</w:t>
            </w:r>
          </w:p>
        </w:tc>
        <w:tc>
          <w:tcPr>
            <w:tcW w:w="637"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888" w:type="dxa"/>
            <w:tcBorders>
              <w:top w:val="single" w:sz="4" w:space="0" w:color="auto"/>
              <w:left w:val="single" w:sz="4" w:space="0" w:color="auto"/>
              <w:bottom w:val="nil"/>
              <w:right w:val="single" w:sz="4" w:space="0" w:color="auto"/>
            </w:tcBorders>
            <w:shd w:val="clear" w:color="000000" w:fill="FF99CC"/>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£753,812.34</w:t>
            </w:r>
          </w:p>
        </w:tc>
        <w:tc>
          <w:tcPr>
            <w:tcW w:w="763"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884"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£748,902.18</w:t>
            </w:r>
          </w:p>
        </w:tc>
        <w:tc>
          <w:tcPr>
            <w:tcW w:w="763" w:type="dxa"/>
            <w:tcBorders>
              <w:top w:val="nil"/>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single" w:sz="4" w:space="0" w:color="auto"/>
              <w:left w:val="nil"/>
              <w:bottom w:val="nil"/>
              <w:right w:val="single" w:sz="4" w:space="0" w:color="auto"/>
            </w:tcBorders>
            <w:shd w:val="clear" w:color="000000" w:fill="99CC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£769,053.89</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single" w:sz="4" w:space="0" w:color="auto"/>
              <w:left w:val="single" w:sz="4" w:space="0" w:color="auto"/>
              <w:bottom w:val="nil"/>
              <w:right w:val="single" w:sz="4" w:space="0" w:color="auto"/>
            </w:tcBorders>
            <w:shd w:val="clear" w:color="000000" w:fill="CC99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£782,583.68</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single" w:sz="4" w:space="0" w:color="auto"/>
              <w:left w:val="single" w:sz="4" w:space="0" w:color="auto"/>
              <w:bottom w:val="nil"/>
              <w:right w:val="single" w:sz="4" w:space="0" w:color="auto"/>
            </w:tcBorders>
            <w:shd w:val="clear" w:color="000000" w:fill="C4D79B"/>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£793,683.98</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992" w:type="dxa"/>
            <w:tcBorders>
              <w:top w:val="single" w:sz="4" w:space="0" w:color="auto"/>
              <w:left w:val="single" w:sz="4" w:space="0" w:color="auto"/>
              <w:bottom w:val="nil"/>
              <w:right w:val="single" w:sz="4" w:space="0" w:color="auto"/>
            </w:tcBorders>
            <w:shd w:val="clear" w:color="000000" w:fill="FFFF99"/>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£799,115.57</w:t>
            </w:r>
          </w:p>
        </w:tc>
        <w:tc>
          <w:tcPr>
            <w:tcW w:w="709" w:type="dxa"/>
            <w:tcBorders>
              <w:top w:val="nil"/>
              <w:left w:val="nil"/>
              <w:bottom w:val="single" w:sz="4" w:space="0" w:color="auto"/>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b/>
                <w:bCs/>
                <w:color w:val="FF0000"/>
                <w:sz w:val="12"/>
                <w:szCs w:val="12"/>
              </w:rPr>
            </w:pPr>
          </w:p>
        </w:tc>
      </w:tr>
      <w:tr w:rsidR="00872FF6" w:rsidRPr="00872FF6" w:rsidTr="00872FF6">
        <w:trPr>
          <w:trHeight w:val="117"/>
        </w:trPr>
        <w:tc>
          <w:tcPr>
            <w:tcW w:w="2410" w:type="dxa"/>
            <w:tcBorders>
              <w:top w:val="nil"/>
              <w:left w:val="nil"/>
              <w:bottom w:val="single" w:sz="12" w:space="0" w:color="auto"/>
              <w:right w:val="nil"/>
            </w:tcBorders>
            <w:shd w:val="clear" w:color="auto" w:fill="auto"/>
            <w:vAlign w:val="bottom"/>
            <w:hideMark/>
          </w:tcPr>
          <w:p w:rsidR="00872FF6" w:rsidRPr="002556D7" w:rsidRDefault="00872FF6">
            <w:pPr>
              <w:rPr>
                <w:rFonts w:ascii="Arial" w:hAnsi="Arial" w:cs="Arial"/>
                <w:b/>
                <w:bCs/>
                <w:sz w:val="8"/>
                <w:szCs w:val="8"/>
              </w:rPr>
            </w:pPr>
            <w:r w:rsidRPr="002556D7">
              <w:rPr>
                <w:rFonts w:ascii="Arial" w:hAnsi="Arial" w:cs="Arial"/>
                <w:b/>
                <w:bCs/>
                <w:sz w:val="8"/>
                <w:szCs w:val="8"/>
              </w:rPr>
              <w:t xml:space="preserve">Less Local Council Tax Scheme Grant Funding </w:t>
            </w:r>
            <w:r w:rsidRPr="002556D7">
              <w:rPr>
                <w:rFonts w:ascii="Arial" w:hAnsi="Arial" w:cs="Arial"/>
                <w:b/>
                <w:bCs/>
                <w:color w:val="FF0000"/>
                <w:sz w:val="8"/>
                <w:szCs w:val="8"/>
              </w:rPr>
              <w:t>confirmed</w:t>
            </w:r>
            <w:r w:rsidRPr="002556D7">
              <w:rPr>
                <w:rFonts w:ascii="Arial" w:hAnsi="Arial" w:cs="Arial"/>
                <w:b/>
                <w:bCs/>
                <w:sz w:val="8"/>
                <w:szCs w:val="8"/>
              </w:rPr>
              <w:t xml:space="preserve">/projected by Sth Glos reduced to 0% p/a </w:t>
            </w:r>
            <w:proofErr w:type="spellStart"/>
            <w:r w:rsidRPr="002556D7">
              <w:rPr>
                <w:rFonts w:ascii="Arial" w:hAnsi="Arial" w:cs="Arial"/>
                <w:b/>
                <w:bCs/>
                <w:sz w:val="8"/>
                <w:szCs w:val="8"/>
              </w:rPr>
              <w:t>wef</w:t>
            </w:r>
            <w:proofErr w:type="spellEnd"/>
            <w:r w:rsidRPr="002556D7">
              <w:rPr>
                <w:rFonts w:ascii="Arial" w:hAnsi="Arial" w:cs="Arial"/>
                <w:b/>
                <w:bCs/>
                <w:sz w:val="8"/>
                <w:szCs w:val="8"/>
              </w:rPr>
              <w:t xml:space="preserve"> 2016/17 </w:t>
            </w:r>
          </w:p>
        </w:tc>
        <w:tc>
          <w:tcPr>
            <w:tcW w:w="284" w:type="dxa"/>
            <w:tcBorders>
              <w:top w:val="single" w:sz="4" w:space="0" w:color="auto"/>
              <w:left w:val="single" w:sz="4" w:space="0" w:color="auto"/>
              <w:bottom w:val="nil"/>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nil"/>
              <w:left w:val="nil"/>
              <w:bottom w:val="nil"/>
              <w:right w:val="nil"/>
            </w:tcBorders>
            <w:shd w:val="clear" w:color="auto" w:fill="auto"/>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FF0000"/>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£40,294.00</w:t>
            </w:r>
          </w:p>
        </w:tc>
        <w:tc>
          <w:tcPr>
            <w:tcW w:w="637"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b/>
                <w:bCs/>
                <w:color w:val="FF0000"/>
                <w:sz w:val="12"/>
                <w:szCs w:val="12"/>
              </w:rPr>
            </w:pPr>
            <w:r w:rsidRPr="00872FF6">
              <w:rPr>
                <w:rFonts w:ascii="Arial" w:hAnsi="Arial" w:cs="Arial"/>
                <w:b/>
                <w:bCs/>
                <w:color w:val="FF0000"/>
                <w:sz w:val="12"/>
                <w:szCs w:val="12"/>
              </w:rPr>
              <w:t> </w:t>
            </w:r>
          </w:p>
        </w:tc>
        <w:tc>
          <w:tcPr>
            <w:tcW w:w="888" w:type="dxa"/>
            <w:tcBorders>
              <w:top w:val="single" w:sz="4" w:space="0" w:color="auto"/>
              <w:left w:val="single" w:sz="4" w:space="0" w:color="auto"/>
              <w:bottom w:val="single" w:sz="12" w:space="0" w:color="auto"/>
              <w:right w:val="single" w:sz="4" w:space="0" w:color="auto"/>
            </w:tcBorders>
            <w:shd w:val="clear" w:color="000000" w:fill="FF0000"/>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£19,073.00</w:t>
            </w:r>
          </w:p>
        </w:tc>
        <w:tc>
          <w:tcPr>
            <w:tcW w:w="763" w:type="dxa"/>
            <w:tcBorders>
              <w:top w:val="single" w:sz="4" w:space="0" w:color="auto"/>
              <w:left w:val="nil"/>
              <w:bottom w:val="single" w:sz="12" w:space="0" w:color="auto"/>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-52.67%</w:t>
            </w:r>
          </w:p>
        </w:tc>
        <w:tc>
          <w:tcPr>
            <w:tcW w:w="884" w:type="dxa"/>
            <w:gridSpan w:val="2"/>
            <w:tcBorders>
              <w:top w:val="single" w:sz="4" w:space="0" w:color="auto"/>
              <w:left w:val="single" w:sz="12" w:space="0" w:color="auto"/>
              <w:bottom w:val="single" w:sz="12" w:space="0" w:color="auto"/>
              <w:right w:val="single" w:sz="4" w:space="0" w:color="auto"/>
            </w:tcBorders>
            <w:shd w:val="clear" w:color="000000" w:fill="FF0000"/>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£11,130.00</w:t>
            </w:r>
          </w:p>
        </w:tc>
        <w:tc>
          <w:tcPr>
            <w:tcW w:w="763" w:type="dxa"/>
            <w:tcBorders>
              <w:top w:val="single" w:sz="4" w:space="0" w:color="auto"/>
              <w:left w:val="nil"/>
              <w:bottom w:val="single" w:sz="12" w:space="0" w:color="auto"/>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-41.65%</w:t>
            </w:r>
          </w:p>
        </w:tc>
        <w:tc>
          <w:tcPr>
            <w:tcW w:w="992" w:type="dxa"/>
            <w:tcBorders>
              <w:top w:val="single" w:sz="4" w:space="0" w:color="auto"/>
              <w:left w:val="nil"/>
              <w:bottom w:val="single" w:sz="12" w:space="0" w:color="auto"/>
              <w:right w:val="single" w:sz="4" w:space="0" w:color="auto"/>
            </w:tcBorders>
            <w:shd w:val="clear" w:color="000000" w:fill="FFFF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£6,948.00</w:t>
            </w:r>
          </w:p>
        </w:tc>
        <w:tc>
          <w:tcPr>
            <w:tcW w:w="709" w:type="dxa"/>
            <w:tcBorders>
              <w:top w:val="single" w:sz="4" w:space="0" w:color="auto"/>
              <w:left w:val="nil"/>
              <w:bottom w:val="single" w:sz="12" w:space="0" w:color="auto"/>
              <w:right w:val="single" w:sz="4"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0.00%</w:t>
            </w:r>
          </w:p>
        </w:tc>
        <w:tc>
          <w:tcPr>
            <w:tcW w:w="992" w:type="dxa"/>
            <w:tcBorders>
              <w:top w:val="single" w:sz="4" w:space="0" w:color="auto"/>
              <w:left w:val="nil"/>
              <w:bottom w:val="single" w:sz="12" w:space="0" w:color="auto"/>
              <w:right w:val="single" w:sz="4" w:space="0" w:color="auto"/>
            </w:tcBorders>
            <w:shd w:val="clear" w:color="000000" w:fill="FFFF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£2,751.00</w:t>
            </w:r>
          </w:p>
        </w:tc>
        <w:tc>
          <w:tcPr>
            <w:tcW w:w="709" w:type="dxa"/>
            <w:tcBorders>
              <w:top w:val="single" w:sz="4" w:space="0" w:color="auto"/>
              <w:left w:val="nil"/>
              <w:bottom w:val="single" w:sz="12" w:space="0" w:color="auto"/>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0.00%</w:t>
            </w:r>
          </w:p>
        </w:tc>
        <w:tc>
          <w:tcPr>
            <w:tcW w:w="992"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£0.00</w:t>
            </w:r>
          </w:p>
        </w:tc>
        <w:tc>
          <w:tcPr>
            <w:tcW w:w="709" w:type="dxa"/>
            <w:tcBorders>
              <w:top w:val="single" w:sz="4" w:space="0" w:color="auto"/>
              <w:left w:val="nil"/>
              <w:bottom w:val="single" w:sz="12" w:space="0" w:color="auto"/>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0.00%</w:t>
            </w:r>
          </w:p>
        </w:tc>
        <w:tc>
          <w:tcPr>
            <w:tcW w:w="992"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£0.00</w:t>
            </w:r>
          </w:p>
        </w:tc>
        <w:tc>
          <w:tcPr>
            <w:tcW w:w="1843" w:type="dxa"/>
            <w:gridSpan w:val="2"/>
            <w:tcBorders>
              <w:top w:val="single" w:sz="4" w:space="0" w:color="auto"/>
              <w:left w:val="nil"/>
              <w:bottom w:val="nil"/>
              <w:right w:val="single" w:sz="4" w:space="0" w:color="000000"/>
            </w:tcBorders>
            <w:shd w:val="clear" w:color="000000" w:fill="FFFFFF"/>
            <w:vAlign w:val="bottom"/>
            <w:hideMark/>
          </w:tcPr>
          <w:p w:rsidR="00872FF6" w:rsidRPr="00872FF6" w:rsidRDefault="00872FF6">
            <w:pPr>
              <w:rPr>
                <w:rFonts w:ascii="Arial" w:hAnsi="Arial" w:cs="Arial"/>
                <w:b/>
                <w:bCs/>
                <w:color w:val="FF0000"/>
                <w:sz w:val="8"/>
                <w:szCs w:val="8"/>
              </w:rPr>
            </w:pPr>
            <w:r w:rsidRPr="00872FF6">
              <w:rPr>
                <w:rFonts w:ascii="Arial" w:hAnsi="Arial" w:cs="Arial"/>
                <w:b/>
                <w:bCs/>
                <w:color w:val="FF0000"/>
                <w:sz w:val="8"/>
                <w:szCs w:val="8"/>
              </w:rPr>
              <w:t xml:space="preserve">2017.18 LCTR Confirmed by SGC. Provisional figures are £6,948 for 2018/19, £2751 for 2019/20 + £0 thereafter. </w:t>
            </w:r>
          </w:p>
        </w:tc>
      </w:tr>
      <w:tr w:rsidR="00872FF6" w:rsidRPr="00872FF6" w:rsidTr="00872FF6">
        <w:trPr>
          <w:trHeight w:val="38"/>
        </w:trPr>
        <w:tc>
          <w:tcPr>
            <w:tcW w:w="2410" w:type="dxa"/>
            <w:tcBorders>
              <w:top w:val="nil"/>
              <w:left w:val="single" w:sz="12" w:space="0" w:color="auto"/>
              <w:bottom w:val="single" w:sz="4" w:space="0" w:color="auto"/>
              <w:right w:val="single" w:sz="4" w:space="0" w:color="auto"/>
            </w:tcBorders>
            <w:shd w:val="clear" w:color="000000" w:fill="FFFFFF"/>
            <w:vAlign w:val="bottom"/>
            <w:hideMark/>
          </w:tcPr>
          <w:p w:rsidR="00872FF6" w:rsidRPr="002556D7" w:rsidRDefault="00872FF6">
            <w:pPr>
              <w:rPr>
                <w:rFonts w:ascii="Arial" w:hAnsi="Arial" w:cs="Arial"/>
                <w:b/>
                <w:bCs/>
                <w:sz w:val="10"/>
                <w:szCs w:val="10"/>
              </w:rPr>
            </w:pPr>
            <w:r w:rsidRPr="002556D7">
              <w:rPr>
                <w:rFonts w:ascii="Arial" w:hAnsi="Arial" w:cs="Arial"/>
                <w:b/>
                <w:bCs/>
                <w:color w:val="FF0000"/>
                <w:sz w:val="10"/>
                <w:szCs w:val="10"/>
              </w:rPr>
              <w:t>Approved</w:t>
            </w:r>
            <w:r w:rsidRPr="002556D7">
              <w:rPr>
                <w:rFonts w:ascii="Arial" w:hAnsi="Arial" w:cs="Arial"/>
                <w:b/>
                <w:bCs/>
                <w:sz w:val="10"/>
                <w:szCs w:val="10"/>
              </w:rPr>
              <w:t>/Estimated Precept per Band D property</w:t>
            </w:r>
          </w:p>
        </w:tc>
        <w:tc>
          <w:tcPr>
            <w:tcW w:w="28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single" w:sz="12" w:space="0" w:color="auto"/>
              <w:left w:val="nil"/>
              <w:bottom w:val="single" w:sz="4" w:space="0" w:color="auto"/>
              <w:right w:val="nil"/>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single" w:sz="12" w:space="0" w:color="auto"/>
              <w:left w:val="single" w:sz="4" w:space="0" w:color="auto"/>
              <w:bottom w:val="single" w:sz="4"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£113.50</w:t>
            </w:r>
          </w:p>
        </w:tc>
        <w:tc>
          <w:tcPr>
            <w:tcW w:w="637" w:type="dxa"/>
            <w:tcBorders>
              <w:top w:val="single" w:sz="12" w:space="0" w:color="auto"/>
              <w:left w:val="nil"/>
              <w:bottom w:val="single" w:sz="4" w:space="0" w:color="auto"/>
              <w:right w:val="nil"/>
            </w:tcBorders>
            <w:shd w:val="clear" w:color="000000" w:fill="FFFF99"/>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0.00%</w:t>
            </w:r>
          </w:p>
        </w:tc>
        <w:tc>
          <w:tcPr>
            <w:tcW w:w="888" w:type="dxa"/>
            <w:tcBorders>
              <w:top w:val="nil"/>
              <w:left w:val="single" w:sz="4" w:space="0" w:color="auto"/>
              <w:bottom w:val="single" w:sz="4"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£115.20</w:t>
            </w:r>
          </w:p>
        </w:tc>
        <w:tc>
          <w:tcPr>
            <w:tcW w:w="763" w:type="dxa"/>
            <w:tcBorders>
              <w:top w:val="nil"/>
              <w:left w:val="nil"/>
              <w:bottom w:val="single" w:sz="4" w:space="0" w:color="auto"/>
              <w:right w:val="nil"/>
            </w:tcBorders>
            <w:shd w:val="clear" w:color="000000" w:fill="FF99CC"/>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1.50%</w:t>
            </w:r>
          </w:p>
        </w:tc>
        <w:tc>
          <w:tcPr>
            <w:tcW w:w="884" w:type="dxa"/>
            <w:gridSpan w:val="2"/>
            <w:tcBorders>
              <w:top w:val="nil"/>
              <w:left w:val="single" w:sz="12" w:space="0" w:color="auto"/>
              <w:bottom w:val="single" w:sz="4"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£115.78</w:t>
            </w:r>
          </w:p>
        </w:tc>
        <w:tc>
          <w:tcPr>
            <w:tcW w:w="763" w:type="dxa"/>
            <w:tcBorders>
              <w:top w:val="nil"/>
              <w:left w:val="nil"/>
              <w:bottom w:val="single" w:sz="4" w:space="0" w:color="auto"/>
              <w:right w:val="single" w:sz="12" w:space="0" w:color="auto"/>
            </w:tcBorders>
            <w:shd w:val="clear" w:color="000000" w:fill="FABF8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0.50%</w:t>
            </w:r>
          </w:p>
        </w:tc>
        <w:tc>
          <w:tcPr>
            <w:tcW w:w="992" w:type="dxa"/>
            <w:tcBorders>
              <w:top w:val="nil"/>
              <w:left w:val="nil"/>
              <w:bottom w:val="single" w:sz="4" w:space="0" w:color="auto"/>
              <w:right w:val="single" w:sz="4" w:space="0" w:color="auto"/>
            </w:tcBorders>
            <w:shd w:val="clear" w:color="000000" w:fill="FFFF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£115.78</w:t>
            </w:r>
          </w:p>
        </w:tc>
        <w:tc>
          <w:tcPr>
            <w:tcW w:w="709" w:type="dxa"/>
            <w:tcBorders>
              <w:top w:val="nil"/>
              <w:left w:val="nil"/>
              <w:bottom w:val="single" w:sz="4" w:space="0" w:color="auto"/>
              <w:right w:val="nil"/>
            </w:tcBorders>
            <w:shd w:val="clear" w:color="000000" w:fill="99CC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£115.78</w:t>
            </w:r>
          </w:p>
        </w:tc>
        <w:tc>
          <w:tcPr>
            <w:tcW w:w="709" w:type="dxa"/>
            <w:tcBorders>
              <w:top w:val="nil"/>
              <w:left w:val="nil"/>
              <w:bottom w:val="single" w:sz="4" w:space="0" w:color="auto"/>
              <w:right w:val="single" w:sz="4" w:space="0" w:color="auto"/>
            </w:tcBorders>
            <w:shd w:val="clear" w:color="000000" w:fill="CC99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£115.78</w:t>
            </w:r>
          </w:p>
        </w:tc>
        <w:tc>
          <w:tcPr>
            <w:tcW w:w="709" w:type="dxa"/>
            <w:tcBorders>
              <w:top w:val="nil"/>
              <w:left w:val="nil"/>
              <w:bottom w:val="nil"/>
              <w:right w:val="nil"/>
            </w:tcBorders>
            <w:shd w:val="clear" w:color="000000" w:fill="EBF1DE"/>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£115.78</w:t>
            </w:r>
          </w:p>
        </w:tc>
        <w:tc>
          <w:tcPr>
            <w:tcW w:w="709" w:type="dxa"/>
            <w:tcBorders>
              <w:top w:val="single" w:sz="12" w:space="0" w:color="auto"/>
              <w:left w:val="nil"/>
              <w:bottom w:val="single" w:sz="12" w:space="0" w:color="auto"/>
              <w:right w:val="single" w:sz="12" w:space="0" w:color="auto"/>
            </w:tcBorders>
            <w:shd w:val="clear" w:color="000000" w:fill="FFFF99"/>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FF6" w:rsidRPr="00872FF6" w:rsidRDefault="00872FF6">
            <w:pPr>
              <w:rPr>
                <w:rFonts w:ascii="Arial" w:hAnsi="Arial" w:cs="Arial"/>
                <w:b/>
                <w:bCs/>
                <w:color w:val="FF0000"/>
                <w:sz w:val="8"/>
                <w:szCs w:val="8"/>
              </w:rPr>
            </w:pPr>
            <w:r w:rsidRPr="00872FF6">
              <w:rPr>
                <w:rFonts w:ascii="Arial" w:hAnsi="Arial" w:cs="Arial"/>
                <w:b/>
                <w:bCs/>
                <w:color w:val="FF0000"/>
                <w:sz w:val="8"/>
                <w:szCs w:val="8"/>
              </w:rPr>
              <w:t xml:space="preserve">Precept forecast @ 0% </w:t>
            </w:r>
            <w:proofErr w:type="spellStart"/>
            <w:r w:rsidRPr="00872FF6">
              <w:rPr>
                <w:rFonts w:ascii="Arial" w:hAnsi="Arial" w:cs="Arial"/>
                <w:b/>
                <w:bCs/>
                <w:color w:val="FF0000"/>
                <w:sz w:val="8"/>
                <w:szCs w:val="8"/>
              </w:rPr>
              <w:t>wef</w:t>
            </w:r>
            <w:proofErr w:type="spellEnd"/>
            <w:r w:rsidRPr="00872FF6">
              <w:rPr>
                <w:rFonts w:ascii="Arial" w:hAnsi="Arial" w:cs="Arial"/>
                <w:b/>
                <w:bCs/>
                <w:color w:val="FF0000"/>
                <w:sz w:val="8"/>
                <w:szCs w:val="8"/>
              </w:rPr>
              <w:t xml:space="preserve"> 2018/19</w:t>
            </w:r>
          </w:p>
        </w:tc>
      </w:tr>
      <w:tr w:rsidR="00872FF6" w:rsidRPr="00872FF6" w:rsidTr="002556D7">
        <w:trPr>
          <w:trHeight w:val="80"/>
        </w:trPr>
        <w:tc>
          <w:tcPr>
            <w:tcW w:w="2410" w:type="dxa"/>
            <w:tcBorders>
              <w:top w:val="nil"/>
              <w:left w:val="single" w:sz="12" w:space="0" w:color="auto"/>
              <w:bottom w:val="single" w:sz="12" w:space="0" w:color="auto"/>
              <w:right w:val="single" w:sz="4" w:space="0" w:color="auto"/>
            </w:tcBorders>
            <w:shd w:val="clear" w:color="000000" w:fill="FFFFFF"/>
            <w:vAlign w:val="bottom"/>
            <w:hideMark/>
          </w:tcPr>
          <w:p w:rsidR="00872FF6" w:rsidRPr="002556D7" w:rsidRDefault="00872FF6">
            <w:pPr>
              <w:rPr>
                <w:rFonts w:ascii="Arial" w:hAnsi="Arial" w:cs="Arial"/>
                <w:b/>
                <w:bCs/>
                <w:sz w:val="10"/>
                <w:szCs w:val="10"/>
              </w:rPr>
            </w:pPr>
            <w:r w:rsidRPr="002556D7">
              <w:rPr>
                <w:rFonts w:ascii="Arial" w:hAnsi="Arial" w:cs="Arial"/>
                <w:b/>
                <w:bCs/>
                <w:color w:val="FF0000"/>
                <w:sz w:val="10"/>
                <w:szCs w:val="10"/>
              </w:rPr>
              <w:t>Approved</w:t>
            </w:r>
            <w:r w:rsidRPr="002556D7">
              <w:rPr>
                <w:rFonts w:ascii="Arial" w:hAnsi="Arial" w:cs="Arial"/>
                <w:b/>
                <w:bCs/>
                <w:sz w:val="10"/>
                <w:szCs w:val="10"/>
              </w:rPr>
              <w:t xml:space="preserve">/Estimated Sth Glos Tax Base </w:t>
            </w:r>
          </w:p>
        </w:tc>
        <w:tc>
          <w:tcPr>
            <w:tcW w:w="284" w:type="dxa"/>
            <w:tcBorders>
              <w:top w:val="nil"/>
              <w:left w:val="single" w:sz="4" w:space="0" w:color="auto"/>
              <w:bottom w:val="single" w:sz="12" w:space="0" w:color="auto"/>
              <w:right w:val="single" w:sz="4" w:space="0" w:color="auto"/>
            </w:tcBorders>
            <w:shd w:val="clear" w:color="auto" w:fill="auto"/>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nil"/>
              <w:left w:val="nil"/>
              <w:bottom w:val="single" w:sz="12" w:space="0" w:color="auto"/>
              <w:right w:val="nil"/>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single" w:sz="12"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6814</w:t>
            </w:r>
          </w:p>
        </w:tc>
        <w:tc>
          <w:tcPr>
            <w:tcW w:w="637" w:type="dxa"/>
            <w:tcBorders>
              <w:top w:val="nil"/>
              <w:left w:val="nil"/>
              <w:bottom w:val="single" w:sz="12" w:space="0" w:color="auto"/>
              <w:right w:val="nil"/>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single" w:sz="4" w:space="0" w:color="auto"/>
              <w:bottom w:val="single" w:sz="12"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6901</w:t>
            </w:r>
          </w:p>
        </w:tc>
        <w:tc>
          <w:tcPr>
            <w:tcW w:w="763" w:type="dxa"/>
            <w:tcBorders>
              <w:top w:val="nil"/>
              <w:left w:val="nil"/>
              <w:bottom w:val="single" w:sz="12" w:space="0" w:color="auto"/>
              <w:right w:val="nil"/>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single" w:sz="12" w:space="0" w:color="auto"/>
              <w:right w:val="single" w:sz="4" w:space="0" w:color="auto"/>
            </w:tcBorders>
            <w:shd w:val="clear" w:color="000000" w:fill="FF0000"/>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6875</w:t>
            </w:r>
          </w:p>
        </w:tc>
        <w:tc>
          <w:tcPr>
            <w:tcW w:w="763" w:type="dxa"/>
            <w:tcBorders>
              <w:top w:val="nil"/>
              <w:left w:val="nil"/>
              <w:bottom w:val="single" w:sz="12" w:space="0" w:color="auto"/>
              <w:right w:val="single" w:sz="12" w:space="0" w:color="auto"/>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12" w:space="0" w:color="auto"/>
              <w:right w:val="single" w:sz="4" w:space="0" w:color="auto"/>
            </w:tcBorders>
            <w:shd w:val="clear" w:color="000000" w:fill="99CC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7095</w:t>
            </w:r>
          </w:p>
        </w:tc>
        <w:tc>
          <w:tcPr>
            <w:tcW w:w="709" w:type="dxa"/>
            <w:tcBorders>
              <w:top w:val="nil"/>
              <w:left w:val="nil"/>
              <w:bottom w:val="single" w:sz="12" w:space="0" w:color="auto"/>
              <w:right w:val="nil"/>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12" w:space="0" w:color="auto"/>
              <w:right w:val="single" w:sz="4" w:space="0" w:color="auto"/>
            </w:tcBorders>
            <w:shd w:val="clear" w:color="000000" w:fill="CC99FF"/>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7205</w:t>
            </w:r>
          </w:p>
        </w:tc>
        <w:tc>
          <w:tcPr>
            <w:tcW w:w="709" w:type="dxa"/>
            <w:tcBorders>
              <w:top w:val="nil"/>
              <w:left w:val="nil"/>
              <w:bottom w:val="single" w:sz="12" w:space="0" w:color="auto"/>
              <w:right w:val="nil"/>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12" w:space="0" w:color="auto"/>
              <w:right w:val="nil"/>
            </w:tcBorders>
            <w:shd w:val="clear" w:color="000000" w:fill="C4D79B"/>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7343</w:t>
            </w:r>
          </w:p>
        </w:tc>
        <w:tc>
          <w:tcPr>
            <w:tcW w:w="70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12" w:space="0" w:color="auto"/>
              <w:right w:val="single" w:sz="12" w:space="0" w:color="auto"/>
            </w:tcBorders>
            <w:shd w:val="clear" w:color="000000" w:fill="FFFF99"/>
            <w:noWrap/>
            <w:vAlign w:val="center"/>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7343</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872FF6" w:rsidRPr="002556D7" w:rsidRDefault="00872FF6">
            <w:pPr>
              <w:rPr>
                <w:rFonts w:ascii="Arial" w:hAnsi="Arial" w:cs="Arial"/>
                <w:b/>
                <w:bCs/>
                <w:color w:val="FF0000"/>
                <w:sz w:val="8"/>
                <w:szCs w:val="8"/>
              </w:rPr>
            </w:pPr>
            <w:r w:rsidRPr="002556D7">
              <w:rPr>
                <w:rFonts w:ascii="Arial" w:hAnsi="Arial" w:cs="Arial"/>
                <w:b/>
                <w:bCs/>
                <w:color w:val="FF0000"/>
                <w:sz w:val="8"/>
                <w:szCs w:val="8"/>
              </w:rPr>
              <w:t>2017/18 Confirmed tax base + SGC indicative figures to 2020/21 as published 12/12/16</w:t>
            </w:r>
          </w:p>
        </w:tc>
      </w:tr>
      <w:tr w:rsidR="00872FF6" w:rsidRPr="00872FF6" w:rsidTr="00872FF6">
        <w:trPr>
          <w:trHeight w:val="77"/>
        </w:trPr>
        <w:tc>
          <w:tcPr>
            <w:tcW w:w="2410" w:type="dxa"/>
            <w:tcBorders>
              <w:top w:val="nil"/>
              <w:left w:val="nil"/>
              <w:bottom w:val="nil"/>
              <w:right w:val="nil"/>
            </w:tcBorders>
            <w:shd w:val="clear" w:color="000000" w:fill="FFFFFF"/>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Approved/Estimated Total Precept Income</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 </w:t>
            </w:r>
          </w:p>
        </w:tc>
        <w:tc>
          <w:tcPr>
            <w:tcW w:w="284" w:type="dxa"/>
            <w:tcBorders>
              <w:top w:val="single" w:sz="4" w:space="0" w:color="auto"/>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£773,389.00</w:t>
            </w:r>
          </w:p>
        </w:tc>
        <w:tc>
          <w:tcPr>
            <w:tcW w:w="637" w:type="dxa"/>
            <w:tcBorders>
              <w:top w:val="single" w:sz="4" w:space="0" w:color="auto"/>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single" w:sz="4"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£794,996.00</w:t>
            </w:r>
          </w:p>
        </w:tc>
        <w:tc>
          <w:tcPr>
            <w:tcW w:w="763" w:type="dxa"/>
            <w:tcBorders>
              <w:top w:val="single" w:sz="4" w:space="0" w:color="auto"/>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£795,988.00</w:t>
            </w:r>
          </w:p>
        </w:tc>
        <w:tc>
          <w:tcPr>
            <w:tcW w:w="763" w:type="dxa"/>
            <w:tcBorders>
              <w:top w:val="single" w:sz="4" w:space="0" w:color="auto"/>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£821,459.10</w:t>
            </w:r>
          </w:p>
        </w:tc>
        <w:tc>
          <w:tcPr>
            <w:tcW w:w="709" w:type="dxa"/>
            <w:tcBorders>
              <w:top w:val="single" w:sz="4" w:space="0" w:color="auto"/>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£834,194.90</w:t>
            </w:r>
          </w:p>
        </w:tc>
        <w:tc>
          <w:tcPr>
            <w:tcW w:w="709" w:type="dxa"/>
            <w:tcBorders>
              <w:top w:val="single" w:sz="4" w:space="0" w:color="auto"/>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£850,172.54</w:t>
            </w:r>
          </w:p>
        </w:tc>
        <w:tc>
          <w:tcPr>
            <w:tcW w:w="709" w:type="dxa"/>
            <w:tcBorders>
              <w:top w:val="nil"/>
              <w:left w:val="nil"/>
              <w:bottom w:val="nil"/>
              <w:right w:val="nil"/>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shd w:val="clear" w:color="000000" w:fill="FF00FF"/>
            <w:noWrap/>
            <w:vAlign w:val="bottom"/>
            <w:hideMark/>
          </w:tcPr>
          <w:p w:rsidR="00872FF6" w:rsidRPr="00872FF6" w:rsidRDefault="00872FF6">
            <w:pPr>
              <w:jc w:val="center"/>
              <w:rPr>
                <w:rFonts w:ascii="Arial" w:hAnsi="Arial" w:cs="Arial"/>
                <w:b/>
                <w:bCs/>
                <w:sz w:val="12"/>
                <w:szCs w:val="12"/>
              </w:rPr>
            </w:pPr>
            <w:r w:rsidRPr="00872FF6">
              <w:rPr>
                <w:rFonts w:ascii="Arial" w:hAnsi="Arial" w:cs="Arial"/>
                <w:b/>
                <w:bCs/>
                <w:sz w:val="12"/>
                <w:szCs w:val="12"/>
              </w:rPr>
              <w:t>£850,172.54</w:t>
            </w:r>
          </w:p>
        </w:tc>
        <w:tc>
          <w:tcPr>
            <w:tcW w:w="709" w:type="dxa"/>
            <w:tcBorders>
              <w:top w:val="single" w:sz="12" w:space="0" w:color="auto"/>
              <w:left w:val="nil"/>
              <w:bottom w:val="nil"/>
              <w:right w:val="single" w:sz="12" w:space="0" w:color="auto"/>
            </w:tcBorders>
            <w:shd w:val="clear" w:color="000000" w:fill="FFFFFF"/>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58"/>
        </w:trPr>
        <w:tc>
          <w:tcPr>
            <w:tcW w:w="2410" w:type="dxa"/>
            <w:tcBorders>
              <w:top w:val="nil"/>
              <w:left w:val="nil"/>
              <w:bottom w:val="nil"/>
              <w:right w:val="single" w:sz="4" w:space="0" w:color="auto"/>
            </w:tcBorders>
            <w:shd w:val="clear" w:color="auto" w:fill="auto"/>
            <w:vAlign w:val="center"/>
            <w:hideMark/>
          </w:tcPr>
          <w:p w:rsidR="00872FF6" w:rsidRPr="00872FF6" w:rsidRDefault="00872FF6">
            <w:pPr>
              <w:rPr>
                <w:rFonts w:ascii="Arial" w:hAnsi="Arial" w:cs="Arial"/>
                <w:sz w:val="12"/>
                <w:szCs w:val="12"/>
              </w:rPr>
            </w:pPr>
            <w:r w:rsidRPr="00872FF6">
              <w:rPr>
                <w:rFonts w:ascii="Arial" w:hAnsi="Arial" w:cs="Arial"/>
                <w:sz w:val="12"/>
                <w:szCs w:val="12"/>
              </w:rPr>
              <w:t>Approved/Projected Total Precept and Local Tax Grant Funding</w:t>
            </w:r>
          </w:p>
        </w:tc>
        <w:tc>
          <w:tcPr>
            <w:tcW w:w="284" w:type="dxa"/>
            <w:tcBorders>
              <w:top w:val="nil"/>
              <w:left w:val="single" w:sz="4" w:space="0" w:color="auto"/>
              <w:bottom w:val="nil"/>
              <w:right w:val="single" w:sz="4" w:space="0" w:color="auto"/>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284" w:type="dxa"/>
            <w:tcBorders>
              <w:top w:val="nil"/>
              <w:left w:val="nil"/>
              <w:bottom w:val="nil"/>
              <w:right w:val="nil"/>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4" w:space="0" w:color="auto"/>
              <w:bottom w:val="nil"/>
              <w:right w:val="single" w:sz="4" w:space="0" w:color="auto"/>
            </w:tcBorders>
            <w:shd w:val="clear" w:color="000000" w:fill="FFFF99"/>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£813,683.00</w:t>
            </w:r>
          </w:p>
        </w:tc>
        <w:tc>
          <w:tcPr>
            <w:tcW w:w="637" w:type="dxa"/>
            <w:tcBorders>
              <w:top w:val="nil"/>
              <w:left w:val="nil"/>
              <w:bottom w:val="nil"/>
              <w:right w:val="nil"/>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8" w:type="dxa"/>
            <w:tcBorders>
              <w:top w:val="nil"/>
              <w:left w:val="single" w:sz="4" w:space="0" w:color="auto"/>
              <w:bottom w:val="nil"/>
              <w:right w:val="single" w:sz="4" w:space="0" w:color="auto"/>
            </w:tcBorders>
            <w:shd w:val="clear" w:color="000000" w:fill="FF99CC"/>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£814,069.00</w:t>
            </w:r>
          </w:p>
        </w:tc>
        <w:tc>
          <w:tcPr>
            <w:tcW w:w="763" w:type="dxa"/>
            <w:tcBorders>
              <w:top w:val="nil"/>
              <w:left w:val="nil"/>
              <w:bottom w:val="nil"/>
              <w:right w:val="nil"/>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884" w:type="dxa"/>
            <w:gridSpan w:val="2"/>
            <w:tcBorders>
              <w:top w:val="nil"/>
              <w:left w:val="single" w:sz="12" w:space="0" w:color="auto"/>
              <w:bottom w:val="nil"/>
              <w:right w:val="single" w:sz="4" w:space="0" w:color="auto"/>
            </w:tcBorders>
            <w:shd w:val="clear" w:color="000000" w:fill="FABF8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£807,118.00</w:t>
            </w:r>
          </w:p>
        </w:tc>
        <w:tc>
          <w:tcPr>
            <w:tcW w:w="763" w:type="dxa"/>
            <w:tcBorders>
              <w:top w:val="nil"/>
              <w:left w:val="nil"/>
              <w:bottom w:val="nil"/>
              <w:right w:val="single" w:sz="12" w:space="0" w:color="auto"/>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nil"/>
              <w:bottom w:val="nil"/>
              <w:right w:val="single" w:sz="4" w:space="0" w:color="auto"/>
            </w:tcBorders>
            <w:shd w:val="clear" w:color="000000" w:fill="99CC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£828,407.10</w:t>
            </w: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nil"/>
              <w:right w:val="single" w:sz="4" w:space="0" w:color="auto"/>
            </w:tcBorders>
            <w:shd w:val="clear" w:color="000000" w:fill="CC99FF"/>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£836,945.90</w:t>
            </w: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nil"/>
              <w:right w:val="single" w:sz="4" w:space="0" w:color="auto"/>
            </w:tcBorders>
            <w:shd w:val="clear" w:color="000000" w:fill="C4D79B"/>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£850,172.54</w:t>
            </w: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nil"/>
              <w:left w:val="single" w:sz="4" w:space="0" w:color="auto"/>
              <w:bottom w:val="nil"/>
              <w:right w:val="single" w:sz="4" w:space="0" w:color="auto"/>
            </w:tcBorders>
            <w:shd w:val="clear" w:color="000000" w:fill="FFFF99"/>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£850,172.54</w:t>
            </w:r>
          </w:p>
        </w:tc>
        <w:tc>
          <w:tcPr>
            <w:tcW w:w="709" w:type="dxa"/>
            <w:tcBorders>
              <w:top w:val="nil"/>
              <w:left w:val="nil"/>
              <w:bottom w:val="nil"/>
              <w:right w:val="single" w:sz="12" w:space="0" w:color="auto"/>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57"/>
        </w:trPr>
        <w:tc>
          <w:tcPr>
            <w:tcW w:w="2410" w:type="dxa"/>
            <w:tcBorders>
              <w:top w:val="single" w:sz="12" w:space="0" w:color="auto"/>
              <w:left w:val="single" w:sz="12" w:space="0" w:color="auto"/>
              <w:bottom w:val="single" w:sz="12" w:space="0" w:color="auto"/>
              <w:right w:val="nil"/>
            </w:tcBorders>
            <w:shd w:val="clear" w:color="auto" w:fill="auto"/>
            <w:vAlign w:val="bottom"/>
            <w:hideMark/>
          </w:tcPr>
          <w:p w:rsidR="00872FF6" w:rsidRPr="00872FF6" w:rsidRDefault="00872FF6">
            <w:pPr>
              <w:rPr>
                <w:rFonts w:ascii="Arial" w:hAnsi="Arial" w:cs="Arial"/>
                <w:b/>
                <w:bCs/>
                <w:sz w:val="12"/>
                <w:szCs w:val="12"/>
              </w:rPr>
            </w:pPr>
            <w:r w:rsidRPr="00872FF6">
              <w:rPr>
                <w:rFonts w:ascii="Arial" w:hAnsi="Arial" w:cs="Arial"/>
                <w:b/>
                <w:bCs/>
                <w:sz w:val="12"/>
                <w:szCs w:val="12"/>
              </w:rPr>
              <w:t>Projected year end position to C/FWD (excluding shortfall funding from year end reserves)</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 </w:t>
            </w:r>
          </w:p>
        </w:tc>
        <w:tc>
          <w:tcPr>
            <w:tcW w:w="284" w:type="dxa"/>
            <w:tcBorders>
              <w:top w:val="single" w:sz="12" w:space="0" w:color="auto"/>
              <w:left w:val="nil"/>
              <w:bottom w:val="single" w:sz="12" w:space="0" w:color="auto"/>
              <w:right w:val="nil"/>
            </w:tcBorders>
            <w:shd w:val="clear" w:color="auto" w:fill="auto"/>
            <w:noWrap/>
            <w:vAlign w:val="center"/>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£53,557.35</w:t>
            </w:r>
          </w:p>
        </w:tc>
        <w:tc>
          <w:tcPr>
            <w:tcW w:w="637" w:type="dxa"/>
            <w:tcBorders>
              <w:top w:val="single" w:sz="12" w:space="0" w:color="auto"/>
              <w:left w:val="nil"/>
              <w:bottom w:val="single" w:sz="12" w:space="0" w:color="auto"/>
              <w:right w:val="nil"/>
            </w:tcBorders>
            <w:shd w:val="clear" w:color="auto" w:fill="auto"/>
            <w:noWrap/>
            <w:vAlign w:val="center"/>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8"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£60,256.66</w:t>
            </w:r>
          </w:p>
        </w:tc>
        <w:tc>
          <w:tcPr>
            <w:tcW w:w="763" w:type="dxa"/>
            <w:tcBorders>
              <w:top w:val="single" w:sz="12" w:space="0" w:color="auto"/>
              <w:left w:val="nil"/>
              <w:bottom w:val="single" w:sz="12" w:space="0" w:color="auto"/>
              <w:right w:val="nil"/>
            </w:tcBorders>
            <w:shd w:val="clear" w:color="auto" w:fill="auto"/>
            <w:noWrap/>
            <w:vAlign w:val="center"/>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£58,215.82</w:t>
            </w:r>
          </w:p>
        </w:tc>
        <w:tc>
          <w:tcPr>
            <w:tcW w:w="763" w:type="dxa"/>
            <w:tcBorders>
              <w:top w:val="single" w:sz="12" w:space="0" w:color="auto"/>
              <w:left w:val="nil"/>
              <w:bottom w:val="single" w:sz="12" w:space="0" w:color="auto"/>
              <w:right w:val="single" w:sz="12" w:space="0" w:color="auto"/>
            </w:tcBorders>
            <w:shd w:val="clear" w:color="auto" w:fill="auto"/>
            <w:noWrap/>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12" w:space="0" w:color="auto"/>
              <w:left w:val="nil"/>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£59,353.21</w:t>
            </w:r>
          </w:p>
        </w:tc>
        <w:tc>
          <w:tcPr>
            <w:tcW w:w="709" w:type="dxa"/>
            <w:tcBorders>
              <w:top w:val="single" w:sz="12" w:space="0" w:color="auto"/>
              <w:left w:val="nil"/>
              <w:bottom w:val="single" w:sz="12" w:space="0" w:color="auto"/>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£54,362.22</w:t>
            </w:r>
          </w:p>
        </w:tc>
        <w:tc>
          <w:tcPr>
            <w:tcW w:w="709" w:type="dxa"/>
            <w:tcBorders>
              <w:top w:val="single" w:sz="12" w:space="0" w:color="auto"/>
              <w:left w:val="nil"/>
              <w:bottom w:val="single" w:sz="12" w:space="0" w:color="auto"/>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£56,488.56</w:t>
            </w:r>
          </w:p>
        </w:tc>
        <w:tc>
          <w:tcPr>
            <w:tcW w:w="709" w:type="dxa"/>
            <w:tcBorders>
              <w:top w:val="single" w:sz="12" w:space="0" w:color="auto"/>
              <w:left w:val="nil"/>
              <w:bottom w:val="single" w:sz="12" w:space="0" w:color="auto"/>
              <w:right w:val="nil"/>
            </w:tcBorders>
            <w:shd w:val="clear" w:color="auto" w:fill="auto"/>
            <w:noWrap/>
            <w:vAlign w:val="bottom"/>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872FF6" w:rsidRPr="00872FF6" w:rsidRDefault="00872FF6">
            <w:pPr>
              <w:jc w:val="center"/>
              <w:rPr>
                <w:rFonts w:ascii="Arial" w:hAnsi="Arial" w:cs="Arial"/>
                <w:b/>
                <w:bCs/>
                <w:color w:val="000000"/>
                <w:sz w:val="12"/>
                <w:szCs w:val="12"/>
              </w:rPr>
            </w:pPr>
            <w:r w:rsidRPr="00872FF6">
              <w:rPr>
                <w:rFonts w:ascii="Arial" w:hAnsi="Arial" w:cs="Arial"/>
                <w:b/>
                <w:bCs/>
                <w:color w:val="000000"/>
                <w:sz w:val="12"/>
                <w:szCs w:val="12"/>
              </w:rPr>
              <w:t>£51,056.97</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872FF6" w:rsidRPr="00872FF6" w:rsidRDefault="00872FF6">
            <w:pPr>
              <w:jc w:val="center"/>
              <w:rPr>
                <w:rFonts w:ascii="Arial" w:hAnsi="Arial" w:cs="Arial"/>
                <w:color w:val="000000"/>
                <w:sz w:val="12"/>
                <w:szCs w:val="12"/>
              </w:rPr>
            </w:pPr>
            <w:r w:rsidRPr="00872FF6">
              <w:rPr>
                <w:rFonts w:ascii="Arial" w:hAnsi="Arial" w:cs="Arial"/>
                <w:color w:val="000000"/>
                <w:sz w:val="12"/>
                <w:szCs w:val="12"/>
              </w:rPr>
              <w:t> </w:t>
            </w:r>
          </w:p>
        </w:tc>
        <w:tc>
          <w:tcPr>
            <w:tcW w:w="1134" w:type="dxa"/>
            <w:tcBorders>
              <w:top w:val="nil"/>
              <w:left w:val="nil"/>
              <w:bottom w:val="nil"/>
              <w:right w:val="nil"/>
            </w:tcBorders>
            <w:shd w:val="clear" w:color="000000" w:fill="FFFFFF"/>
            <w:noWrap/>
            <w:vAlign w:val="bottom"/>
            <w:hideMark/>
          </w:tcPr>
          <w:p w:rsidR="00872FF6" w:rsidRPr="00872FF6" w:rsidRDefault="00872FF6">
            <w:pPr>
              <w:rPr>
                <w:rFonts w:ascii="Arial" w:hAnsi="Arial" w:cs="Arial"/>
                <w:sz w:val="12"/>
                <w:szCs w:val="12"/>
              </w:rPr>
            </w:pPr>
            <w:r w:rsidRPr="00872FF6">
              <w:rPr>
                <w:rFonts w:ascii="Arial" w:hAnsi="Arial" w:cs="Arial"/>
                <w:sz w:val="12"/>
                <w:szCs w:val="12"/>
              </w:rPr>
              <w:t> </w:t>
            </w:r>
          </w:p>
        </w:tc>
      </w:tr>
      <w:tr w:rsidR="00872FF6" w:rsidRPr="00872FF6" w:rsidTr="00872FF6">
        <w:trPr>
          <w:trHeight w:val="455"/>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c>
          <w:tcPr>
            <w:tcW w:w="577" w:type="dxa"/>
            <w:gridSpan w:val="3"/>
            <w:tcBorders>
              <w:top w:val="single" w:sz="12" w:space="0" w:color="auto"/>
              <w:left w:val="nil"/>
              <w:bottom w:val="nil"/>
              <w:right w:val="nil"/>
            </w:tcBorders>
            <w:shd w:val="clear" w:color="000000" w:fill="FFFFFF"/>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w:t>
            </w:r>
          </w:p>
        </w:tc>
        <w:tc>
          <w:tcPr>
            <w:tcW w:w="1512" w:type="dxa"/>
            <w:gridSpan w:val="2"/>
            <w:tcBorders>
              <w:top w:val="nil"/>
              <w:left w:val="single" w:sz="4" w:space="0" w:color="auto"/>
              <w:bottom w:val="single" w:sz="4" w:space="0" w:color="auto"/>
              <w:right w:val="nil"/>
            </w:tcBorders>
            <w:shd w:val="clear" w:color="000000" w:fill="FFFF99"/>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xml:space="preserve">The Precept &amp; LCTR figures are based upon approved figures provided by Sth Glos 13/1/15. The Precept was approved by Council in January 2015 </w:t>
            </w:r>
          </w:p>
        </w:tc>
        <w:tc>
          <w:tcPr>
            <w:tcW w:w="1661" w:type="dxa"/>
            <w:gridSpan w:val="3"/>
            <w:tcBorders>
              <w:top w:val="nil"/>
              <w:left w:val="single" w:sz="4" w:space="0" w:color="auto"/>
              <w:bottom w:val="single" w:sz="4" w:space="0" w:color="auto"/>
              <w:right w:val="nil"/>
            </w:tcBorders>
            <w:shd w:val="clear" w:color="000000" w:fill="FF99CC"/>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xml:space="preserve">The Precept and LCTR figures are based upon approved figures provided by Sth Glos in January 2016. The precept was approved by Council in November 2015 with final approval in January 2016. </w:t>
            </w:r>
          </w:p>
        </w:tc>
        <w:tc>
          <w:tcPr>
            <w:tcW w:w="1637" w:type="dxa"/>
            <w:gridSpan w:val="2"/>
            <w:tcBorders>
              <w:top w:val="single" w:sz="12" w:space="0" w:color="auto"/>
              <w:left w:val="single" w:sz="12" w:space="0" w:color="auto"/>
              <w:bottom w:val="single" w:sz="12" w:space="0" w:color="auto"/>
              <w:right w:val="single" w:sz="12" w:space="0" w:color="000000"/>
            </w:tcBorders>
            <w:shd w:val="clear" w:color="000000" w:fill="FABF8F"/>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xml:space="preserve">The Precept and LCTR figures are based upon approved figures provided by Sth Glos in Dec 16. The final precept was approved by Council January 2017 with a 0.5% increase (equivalent to 58p per band D property p/a). </w:t>
            </w:r>
          </w:p>
        </w:tc>
        <w:tc>
          <w:tcPr>
            <w:tcW w:w="1701" w:type="dxa"/>
            <w:gridSpan w:val="2"/>
            <w:tcBorders>
              <w:top w:val="nil"/>
              <w:left w:val="nil"/>
              <w:bottom w:val="single" w:sz="4" w:space="0" w:color="auto"/>
              <w:right w:val="single" w:sz="4" w:space="0" w:color="000000"/>
            </w:tcBorders>
            <w:shd w:val="clear" w:color="000000" w:fill="8DB4E2"/>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This projection assumes a 0% precept increase for 2018/19 and a Sth Glos projected tax base and projected reduced LCTR for 2018/19.  - These assumptions will be considered by SGC &amp; BSTC in January 2018 when finalised figures are available</w:t>
            </w:r>
          </w:p>
        </w:tc>
        <w:tc>
          <w:tcPr>
            <w:tcW w:w="1701" w:type="dxa"/>
            <w:gridSpan w:val="2"/>
            <w:tcBorders>
              <w:top w:val="nil"/>
              <w:left w:val="nil"/>
              <w:bottom w:val="single" w:sz="4" w:space="0" w:color="auto"/>
              <w:right w:val="single" w:sz="4" w:space="0" w:color="000000"/>
            </w:tcBorders>
            <w:shd w:val="clear" w:color="000000" w:fill="CC99FF"/>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This projection assumes a 0% precept increase for 2019/20 and + a Sth Glos projected tax base and projected reduced LCTR for 2019/20- These assumptions will be considered by SGC &amp; BSTC in January 2019 when finalised figures are available</w:t>
            </w:r>
          </w:p>
        </w:tc>
        <w:tc>
          <w:tcPr>
            <w:tcW w:w="1701" w:type="dxa"/>
            <w:gridSpan w:val="2"/>
            <w:tcBorders>
              <w:top w:val="nil"/>
              <w:left w:val="nil"/>
              <w:bottom w:val="single" w:sz="4" w:space="0" w:color="auto"/>
              <w:right w:val="single" w:sz="4" w:space="0" w:color="000000"/>
            </w:tcBorders>
            <w:shd w:val="clear" w:color="000000" w:fill="EBF1DE"/>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xml:space="preserve">This projection assumes a 0% precept increase for 2020/21 </w:t>
            </w:r>
            <w:proofErr w:type="gramStart"/>
            <w:r w:rsidRPr="00872FF6">
              <w:rPr>
                <w:rFonts w:ascii="Arial" w:hAnsi="Arial" w:cs="Arial"/>
                <w:sz w:val="12"/>
                <w:szCs w:val="12"/>
              </w:rPr>
              <w:t>and  +</w:t>
            </w:r>
            <w:proofErr w:type="gramEnd"/>
            <w:r w:rsidRPr="00872FF6">
              <w:rPr>
                <w:rFonts w:ascii="Arial" w:hAnsi="Arial" w:cs="Arial"/>
                <w:sz w:val="12"/>
                <w:szCs w:val="12"/>
              </w:rPr>
              <w:t xml:space="preserve"> Sth Glos projected tax base for 2020/21 + SGC projection of a £0 LCTR - These assumptions will be considered by Council in January 2020 when finalised figures are available</w:t>
            </w:r>
          </w:p>
        </w:tc>
        <w:tc>
          <w:tcPr>
            <w:tcW w:w="1701" w:type="dxa"/>
            <w:gridSpan w:val="2"/>
            <w:tcBorders>
              <w:top w:val="nil"/>
              <w:left w:val="nil"/>
              <w:bottom w:val="single" w:sz="4" w:space="0" w:color="auto"/>
              <w:right w:val="single" w:sz="4" w:space="0" w:color="000000"/>
            </w:tcBorders>
            <w:shd w:val="clear" w:color="000000" w:fill="FFFF99"/>
            <w:vAlign w:val="center"/>
            <w:hideMark/>
          </w:tcPr>
          <w:p w:rsidR="00872FF6" w:rsidRPr="00872FF6" w:rsidRDefault="00872FF6">
            <w:pPr>
              <w:jc w:val="center"/>
              <w:rPr>
                <w:rFonts w:ascii="Arial" w:hAnsi="Arial" w:cs="Arial"/>
                <w:sz w:val="12"/>
                <w:szCs w:val="12"/>
              </w:rPr>
            </w:pPr>
            <w:r w:rsidRPr="00872FF6">
              <w:rPr>
                <w:rFonts w:ascii="Arial" w:hAnsi="Arial" w:cs="Arial"/>
                <w:sz w:val="12"/>
                <w:szCs w:val="12"/>
              </w:rPr>
              <w:t xml:space="preserve">This projection assumes a 0% precept increase for 2021/22 </w:t>
            </w:r>
            <w:proofErr w:type="gramStart"/>
            <w:r w:rsidRPr="00872FF6">
              <w:rPr>
                <w:rFonts w:ascii="Arial" w:hAnsi="Arial" w:cs="Arial"/>
                <w:sz w:val="12"/>
                <w:szCs w:val="12"/>
              </w:rPr>
              <w:t>and  +</w:t>
            </w:r>
            <w:proofErr w:type="gramEnd"/>
            <w:r w:rsidRPr="00872FF6">
              <w:rPr>
                <w:rFonts w:ascii="Arial" w:hAnsi="Arial" w:cs="Arial"/>
                <w:sz w:val="12"/>
                <w:szCs w:val="12"/>
              </w:rPr>
              <w:t xml:space="preserve"> Sth Glos projected tax base for 2020/21 c/</w:t>
            </w:r>
            <w:proofErr w:type="spellStart"/>
            <w:r w:rsidRPr="00872FF6">
              <w:rPr>
                <w:rFonts w:ascii="Arial" w:hAnsi="Arial" w:cs="Arial"/>
                <w:sz w:val="12"/>
                <w:szCs w:val="12"/>
              </w:rPr>
              <w:t>fwd</w:t>
            </w:r>
            <w:proofErr w:type="spellEnd"/>
            <w:r w:rsidRPr="00872FF6">
              <w:rPr>
                <w:rFonts w:ascii="Arial" w:hAnsi="Arial" w:cs="Arial"/>
                <w:sz w:val="12"/>
                <w:szCs w:val="12"/>
              </w:rPr>
              <w:t xml:space="preserve"> + SGC projected £0 LCTR - These assumptions will be considered by Council in January 2021 when finalised figures are available</w:t>
            </w:r>
          </w:p>
        </w:tc>
        <w:tc>
          <w:tcPr>
            <w:tcW w:w="113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r>
      <w:tr w:rsidR="00872FF6" w:rsidRPr="00872FF6" w:rsidTr="00872FF6">
        <w:trPr>
          <w:trHeight w:val="38"/>
        </w:trPr>
        <w:tc>
          <w:tcPr>
            <w:tcW w:w="2410" w:type="dxa"/>
            <w:tcBorders>
              <w:top w:val="nil"/>
              <w:left w:val="nil"/>
              <w:bottom w:val="nil"/>
              <w:right w:val="nil"/>
            </w:tcBorders>
            <w:shd w:val="clear" w:color="auto" w:fill="auto"/>
            <w:noWrap/>
            <w:vAlign w:val="bottom"/>
            <w:hideMark/>
          </w:tcPr>
          <w:p w:rsidR="00872FF6" w:rsidRPr="00872FF6" w:rsidRDefault="00872FF6">
            <w:pPr>
              <w:rPr>
                <w:rFonts w:ascii="Arial" w:hAnsi="Arial" w:cs="Arial"/>
                <w:b/>
                <w:bCs/>
                <w:color w:val="000000"/>
                <w:sz w:val="12"/>
                <w:szCs w:val="12"/>
              </w:rPr>
            </w:pPr>
            <w:r w:rsidRPr="00872FF6">
              <w:rPr>
                <w:rFonts w:ascii="Arial" w:hAnsi="Arial" w:cs="Arial"/>
                <w:b/>
                <w:bCs/>
                <w:color w:val="000000"/>
                <w:sz w:val="12"/>
                <w:szCs w:val="12"/>
              </w:rPr>
              <w:t>NOTE</w:t>
            </w:r>
          </w:p>
        </w:tc>
        <w:tc>
          <w:tcPr>
            <w:tcW w:w="284" w:type="dxa"/>
            <w:tcBorders>
              <w:top w:val="nil"/>
              <w:left w:val="nil"/>
              <w:bottom w:val="nil"/>
              <w:right w:val="nil"/>
            </w:tcBorders>
            <w:shd w:val="clear" w:color="auto" w:fill="auto"/>
            <w:vAlign w:val="bottom"/>
            <w:hideMark/>
          </w:tcPr>
          <w:p w:rsidR="00872FF6" w:rsidRPr="00872FF6" w:rsidRDefault="00872FF6">
            <w:pPr>
              <w:rPr>
                <w:rFonts w:ascii="Arial" w:hAnsi="Arial" w:cs="Arial"/>
                <w:b/>
                <w:bCs/>
                <w:color w:val="000000"/>
                <w:sz w:val="12"/>
                <w:szCs w:val="12"/>
              </w:rPr>
            </w:pPr>
          </w:p>
        </w:tc>
        <w:tc>
          <w:tcPr>
            <w:tcW w:w="284"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884" w:type="dxa"/>
            <w:gridSpan w:val="2"/>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637"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888"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63"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884" w:type="dxa"/>
            <w:gridSpan w:val="2"/>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63"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872FF6" w:rsidRPr="00872FF6" w:rsidRDefault="00872FF6">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872FF6" w:rsidRPr="00872FF6" w:rsidRDefault="00872FF6">
            <w:pPr>
              <w:jc w:val="cente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rsidR="00872FF6" w:rsidRPr="00872FF6" w:rsidRDefault="00872FF6">
            <w:pPr>
              <w:rPr>
                <w:rFonts w:ascii="Arial" w:hAnsi="Arial" w:cs="Arial"/>
                <w:sz w:val="12"/>
                <w:szCs w:val="12"/>
              </w:rPr>
            </w:pPr>
          </w:p>
        </w:tc>
      </w:tr>
      <w:tr w:rsidR="00872FF6" w:rsidRPr="00872FF6" w:rsidTr="00872FF6">
        <w:trPr>
          <w:trHeight w:val="183"/>
        </w:trPr>
        <w:tc>
          <w:tcPr>
            <w:tcW w:w="15735" w:type="dxa"/>
            <w:gridSpan w:val="20"/>
            <w:tcBorders>
              <w:top w:val="nil"/>
              <w:left w:val="nil"/>
              <w:bottom w:val="nil"/>
              <w:right w:val="nil"/>
            </w:tcBorders>
            <w:shd w:val="clear" w:color="auto" w:fill="auto"/>
            <w:vAlign w:val="center"/>
            <w:hideMark/>
          </w:tcPr>
          <w:p w:rsidR="00872FF6" w:rsidRPr="00872FF6" w:rsidRDefault="00872FF6">
            <w:pPr>
              <w:rPr>
                <w:rFonts w:ascii="Arial" w:hAnsi="Arial" w:cs="Arial"/>
                <w:color w:val="000000"/>
                <w:sz w:val="12"/>
                <w:szCs w:val="12"/>
              </w:rPr>
            </w:pPr>
            <w:r w:rsidRPr="00872FF6">
              <w:rPr>
                <w:rFonts w:ascii="Arial" w:hAnsi="Arial" w:cs="Arial"/>
                <w:color w:val="000000"/>
                <w:sz w:val="12"/>
                <w:szCs w:val="12"/>
              </w:rPr>
              <w:t xml:space="preserve">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w:t>
            </w:r>
            <w:proofErr w:type="spellStart"/>
            <w:r w:rsidRPr="00872FF6">
              <w:rPr>
                <w:rFonts w:ascii="Arial" w:hAnsi="Arial" w:cs="Arial"/>
                <w:color w:val="000000"/>
                <w:sz w:val="12"/>
                <w:szCs w:val="12"/>
              </w:rPr>
              <w:t>year end</w:t>
            </w:r>
            <w:proofErr w:type="spellEnd"/>
            <w:r w:rsidRPr="00872FF6">
              <w:rPr>
                <w:rFonts w:ascii="Arial" w:hAnsi="Arial" w:cs="Arial"/>
                <w:color w:val="000000"/>
                <w:sz w:val="12"/>
                <w:szCs w:val="12"/>
              </w:rPr>
              <w:t xml:space="preserve"> shortfalls. Any surplus funds remaining at year end are placed within the unallocated earmarked reserves </w:t>
            </w:r>
            <w:proofErr w:type="gramStart"/>
            <w:r w:rsidRPr="00872FF6">
              <w:rPr>
                <w:rFonts w:ascii="Arial" w:hAnsi="Arial" w:cs="Arial"/>
                <w:color w:val="000000"/>
                <w:sz w:val="12"/>
                <w:szCs w:val="12"/>
              </w:rPr>
              <w:t>in order to</w:t>
            </w:r>
            <w:proofErr w:type="gramEnd"/>
            <w:r w:rsidRPr="00872FF6">
              <w:rPr>
                <w:rFonts w:ascii="Arial" w:hAnsi="Arial" w:cs="Arial"/>
                <w:color w:val="000000"/>
                <w:sz w:val="12"/>
                <w:szCs w:val="12"/>
              </w:rPr>
              <w:t xml:space="preserve"> fund future projects or to subsidise future precept levels. It should also be noted that council are </w:t>
            </w:r>
            <w:proofErr w:type="gramStart"/>
            <w:r w:rsidRPr="00872FF6">
              <w:rPr>
                <w:rFonts w:ascii="Arial" w:hAnsi="Arial" w:cs="Arial"/>
                <w:color w:val="000000"/>
                <w:sz w:val="12"/>
                <w:szCs w:val="12"/>
              </w:rPr>
              <w:t>making the assumption</w:t>
            </w:r>
            <w:proofErr w:type="gramEnd"/>
            <w:r w:rsidRPr="00872FF6">
              <w:rPr>
                <w:rFonts w:ascii="Arial" w:hAnsi="Arial" w:cs="Arial"/>
                <w:color w:val="000000"/>
                <w:sz w:val="12"/>
                <w:szCs w:val="12"/>
              </w:rPr>
              <w:t>, for this projection, that the Local Council Tax Grant will be withdrawn totally after 2019/20 in line with SGCs projected position.</w:t>
            </w:r>
          </w:p>
        </w:tc>
      </w:tr>
    </w:tbl>
    <w:p w:rsidR="00BE3513" w:rsidRDefault="00BE3513" w:rsidP="007D22FD">
      <w:pPr>
        <w:jc w:val="both"/>
        <w:rPr>
          <w:rFonts w:ascii="Arial" w:hAnsi="Arial" w:cs="Arial"/>
          <w:sz w:val="16"/>
          <w:szCs w:val="16"/>
        </w:rPr>
      </w:pPr>
    </w:p>
    <w:p w:rsidR="0093248E" w:rsidRDefault="0093248E" w:rsidP="0093248E">
      <w:pPr>
        <w:jc w:val="right"/>
        <w:rPr>
          <w:b/>
        </w:rPr>
      </w:pPr>
      <w:r w:rsidRPr="00E6461B">
        <w:rPr>
          <w:b/>
        </w:rPr>
        <w:lastRenderedPageBreak/>
        <w:t xml:space="preserve">Appendix </w:t>
      </w:r>
      <w:r>
        <w:rPr>
          <w:b/>
        </w:rPr>
        <w:t>B</w:t>
      </w:r>
    </w:p>
    <w:p w:rsidR="0093248E" w:rsidRDefault="0093248E" w:rsidP="007D22FD">
      <w:pPr>
        <w:jc w:val="both"/>
        <w:rPr>
          <w:b/>
        </w:rPr>
      </w:pPr>
      <w:r>
        <w:rPr>
          <w:b/>
        </w:rPr>
        <w:t>Strategic planning meeting: Indicative projected Youth Project expenditure based on implementation of key elements of BSTC five-year plan.</w:t>
      </w:r>
    </w:p>
    <w:p w:rsidR="0093248E" w:rsidRDefault="0093248E" w:rsidP="007D22FD">
      <w:pPr>
        <w:jc w:val="both"/>
        <w:rPr>
          <w:rFonts w:ascii="Arial" w:hAnsi="Arial" w:cs="Arial"/>
          <w:sz w:val="16"/>
          <w:szCs w:val="16"/>
        </w:rPr>
      </w:pPr>
    </w:p>
    <w:tbl>
      <w:tblPr>
        <w:tblStyle w:val="TableGrid"/>
        <w:tblW w:w="0" w:type="auto"/>
        <w:tblLook w:val="04A0" w:firstRow="1" w:lastRow="0" w:firstColumn="1" w:lastColumn="0" w:noHBand="0" w:noVBand="1"/>
      </w:tblPr>
      <w:tblGrid>
        <w:gridCol w:w="806"/>
        <w:gridCol w:w="1228"/>
        <w:gridCol w:w="1073"/>
        <w:gridCol w:w="1123"/>
        <w:gridCol w:w="1540"/>
        <w:gridCol w:w="1392"/>
        <w:gridCol w:w="1259"/>
        <w:gridCol w:w="991"/>
        <w:gridCol w:w="1259"/>
        <w:gridCol w:w="1255"/>
        <w:gridCol w:w="1271"/>
        <w:gridCol w:w="2193"/>
      </w:tblGrid>
      <w:tr w:rsidR="0093248E" w:rsidRPr="0093248E" w:rsidTr="0093248E">
        <w:tc>
          <w:tcPr>
            <w:tcW w:w="806" w:type="dxa"/>
            <w:shd w:val="clear" w:color="auto" w:fill="FFF2CC" w:themeFill="accent4" w:themeFillTint="33"/>
          </w:tcPr>
          <w:p w:rsidR="0093248E" w:rsidRPr="0093248E" w:rsidRDefault="0093248E" w:rsidP="00103C0A">
            <w:pPr>
              <w:jc w:val="center"/>
              <w:rPr>
                <w:sz w:val="20"/>
                <w:szCs w:val="20"/>
              </w:rPr>
            </w:pPr>
            <w:r w:rsidRPr="0093248E">
              <w:rPr>
                <w:sz w:val="20"/>
                <w:szCs w:val="20"/>
              </w:rPr>
              <w:t>Code</w:t>
            </w:r>
          </w:p>
        </w:tc>
        <w:tc>
          <w:tcPr>
            <w:tcW w:w="1228" w:type="dxa"/>
            <w:shd w:val="clear" w:color="auto" w:fill="FFF2CC" w:themeFill="accent4" w:themeFillTint="33"/>
          </w:tcPr>
          <w:p w:rsidR="0093248E" w:rsidRPr="0093248E" w:rsidRDefault="0093248E" w:rsidP="00103C0A">
            <w:pPr>
              <w:jc w:val="center"/>
              <w:rPr>
                <w:sz w:val="20"/>
                <w:szCs w:val="20"/>
              </w:rPr>
            </w:pPr>
            <w:r w:rsidRPr="0093248E">
              <w:rPr>
                <w:sz w:val="20"/>
                <w:szCs w:val="20"/>
              </w:rPr>
              <w:t>Funding Source</w:t>
            </w:r>
          </w:p>
        </w:tc>
        <w:tc>
          <w:tcPr>
            <w:tcW w:w="1073" w:type="dxa"/>
            <w:shd w:val="clear" w:color="auto" w:fill="FFF2CC" w:themeFill="accent4" w:themeFillTint="33"/>
          </w:tcPr>
          <w:p w:rsidR="0093248E" w:rsidRPr="0093248E" w:rsidRDefault="0093248E" w:rsidP="00103C0A">
            <w:pPr>
              <w:jc w:val="center"/>
              <w:rPr>
                <w:sz w:val="20"/>
                <w:szCs w:val="20"/>
              </w:rPr>
            </w:pPr>
            <w:r w:rsidRPr="0093248E">
              <w:rPr>
                <w:sz w:val="20"/>
                <w:szCs w:val="20"/>
              </w:rPr>
              <w:t>Funding amount 17/18</w:t>
            </w:r>
          </w:p>
        </w:tc>
        <w:tc>
          <w:tcPr>
            <w:tcW w:w="1123" w:type="dxa"/>
            <w:shd w:val="clear" w:color="auto" w:fill="FFF2CC" w:themeFill="accent4" w:themeFillTint="33"/>
          </w:tcPr>
          <w:p w:rsidR="0093248E" w:rsidRPr="0093248E" w:rsidRDefault="0093248E" w:rsidP="00103C0A">
            <w:pPr>
              <w:jc w:val="center"/>
              <w:rPr>
                <w:sz w:val="20"/>
                <w:szCs w:val="20"/>
              </w:rPr>
            </w:pPr>
            <w:r w:rsidRPr="0093248E">
              <w:rPr>
                <w:sz w:val="20"/>
                <w:szCs w:val="20"/>
              </w:rPr>
              <w:t>Funding amount 18/19</w:t>
            </w:r>
          </w:p>
        </w:tc>
        <w:tc>
          <w:tcPr>
            <w:tcW w:w="1540" w:type="dxa"/>
            <w:shd w:val="clear" w:color="auto" w:fill="FFF2CC" w:themeFill="accent4" w:themeFillTint="33"/>
          </w:tcPr>
          <w:p w:rsidR="0093248E" w:rsidRPr="0093248E" w:rsidRDefault="0093248E" w:rsidP="00103C0A">
            <w:pPr>
              <w:jc w:val="center"/>
              <w:rPr>
                <w:sz w:val="20"/>
                <w:szCs w:val="20"/>
              </w:rPr>
            </w:pPr>
            <w:r w:rsidRPr="0093248E">
              <w:rPr>
                <w:sz w:val="20"/>
                <w:szCs w:val="20"/>
              </w:rPr>
              <w:t>Project description</w:t>
            </w:r>
          </w:p>
        </w:tc>
        <w:tc>
          <w:tcPr>
            <w:tcW w:w="1392" w:type="dxa"/>
            <w:shd w:val="clear" w:color="auto" w:fill="F7CAAC" w:themeFill="accent2" w:themeFillTint="66"/>
          </w:tcPr>
          <w:p w:rsidR="0093248E" w:rsidRPr="0093248E" w:rsidRDefault="0093248E" w:rsidP="00103C0A">
            <w:pPr>
              <w:jc w:val="center"/>
              <w:rPr>
                <w:b/>
                <w:sz w:val="20"/>
                <w:szCs w:val="20"/>
              </w:rPr>
            </w:pPr>
            <w:r w:rsidRPr="0093248E">
              <w:rPr>
                <w:b/>
                <w:sz w:val="20"/>
                <w:szCs w:val="20"/>
              </w:rPr>
              <w:t>2017/18</w:t>
            </w:r>
          </w:p>
          <w:p w:rsidR="0093248E" w:rsidRPr="0093248E" w:rsidRDefault="0093248E" w:rsidP="00103C0A">
            <w:pPr>
              <w:jc w:val="center"/>
              <w:rPr>
                <w:sz w:val="20"/>
                <w:szCs w:val="20"/>
              </w:rPr>
            </w:pPr>
          </w:p>
        </w:tc>
        <w:tc>
          <w:tcPr>
            <w:tcW w:w="1259" w:type="dxa"/>
            <w:shd w:val="clear" w:color="auto" w:fill="F7CAAC" w:themeFill="accent2" w:themeFillTint="66"/>
          </w:tcPr>
          <w:p w:rsidR="0093248E" w:rsidRPr="0093248E" w:rsidRDefault="0093248E" w:rsidP="00103C0A">
            <w:pPr>
              <w:jc w:val="center"/>
              <w:rPr>
                <w:b/>
                <w:sz w:val="20"/>
                <w:szCs w:val="20"/>
              </w:rPr>
            </w:pPr>
            <w:r w:rsidRPr="0093248E">
              <w:rPr>
                <w:b/>
                <w:sz w:val="20"/>
                <w:szCs w:val="20"/>
              </w:rPr>
              <w:t>2018/19</w:t>
            </w:r>
          </w:p>
        </w:tc>
        <w:tc>
          <w:tcPr>
            <w:tcW w:w="991" w:type="dxa"/>
          </w:tcPr>
          <w:p w:rsidR="0093248E" w:rsidRPr="0093248E" w:rsidRDefault="0093248E" w:rsidP="00103C0A">
            <w:pPr>
              <w:jc w:val="center"/>
              <w:rPr>
                <w:b/>
                <w:sz w:val="20"/>
                <w:szCs w:val="20"/>
              </w:rPr>
            </w:pPr>
            <w:r w:rsidRPr="0093248E">
              <w:rPr>
                <w:b/>
                <w:sz w:val="20"/>
                <w:szCs w:val="20"/>
              </w:rPr>
              <w:t>2019/20</w:t>
            </w:r>
          </w:p>
        </w:tc>
        <w:tc>
          <w:tcPr>
            <w:tcW w:w="1259" w:type="dxa"/>
            <w:shd w:val="clear" w:color="auto" w:fill="E7E6E6" w:themeFill="background2"/>
          </w:tcPr>
          <w:p w:rsidR="0093248E" w:rsidRPr="0093248E" w:rsidRDefault="0093248E" w:rsidP="00103C0A">
            <w:pPr>
              <w:jc w:val="center"/>
              <w:rPr>
                <w:b/>
                <w:sz w:val="20"/>
                <w:szCs w:val="20"/>
              </w:rPr>
            </w:pPr>
            <w:r w:rsidRPr="0093248E">
              <w:rPr>
                <w:b/>
                <w:sz w:val="20"/>
                <w:szCs w:val="20"/>
              </w:rPr>
              <w:t>2017/18 from 5500</w:t>
            </w:r>
          </w:p>
        </w:tc>
        <w:tc>
          <w:tcPr>
            <w:tcW w:w="1255" w:type="dxa"/>
            <w:shd w:val="clear" w:color="auto" w:fill="E7E6E6" w:themeFill="background2"/>
          </w:tcPr>
          <w:p w:rsidR="0093248E" w:rsidRPr="0093248E" w:rsidRDefault="0093248E" w:rsidP="00103C0A">
            <w:pPr>
              <w:jc w:val="center"/>
              <w:rPr>
                <w:sz w:val="20"/>
                <w:szCs w:val="20"/>
              </w:rPr>
            </w:pPr>
            <w:r w:rsidRPr="0093248E">
              <w:rPr>
                <w:b/>
                <w:sz w:val="20"/>
                <w:szCs w:val="20"/>
              </w:rPr>
              <w:t>2018/19 from 5500</w:t>
            </w:r>
          </w:p>
        </w:tc>
        <w:tc>
          <w:tcPr>
            <w:tcW w:w="1271" w:type="dxa"/>
            <w:shd w:val="clear" w:color="auto" w:fill="E7E6E6" w:themeFill="background2"/>
          </w:tcPr>
          <w:p w:rsidR="0093248E" w:rsidRPr="0093248E" w:rsidRDefault="0093248E" w:rsidP="00103C0A">
            <w:pPr>
              <w:jc w:val="center"/>
              <w:rPr>
                <w:b/>
                <w:sz w:val="20"/>
                <w:szCs w:val="20"/>
              </w:rPr>
            </w:pPr>
            <w:r w:rsidRPr="0093248E">
              <w:rPr>
                <w:b/>
                <w:sz w:val="20"/>
                <w:szCs w:val="20"/>
              </w:rPr>
              <w:t>2019/20</w:t>
            </w:r>
          </w:p>
          <w:p w:rsidR="0093248E" w:rsidRPr="0093248E" w:rsidRDefault="0093248E" w:rsidP="00103C0A">
            <w:pPr>
              <w:jc w:val="center"/>
              <w:rPr>
                <w:sz w:val="20"/>
                <w:szCs w:val="20"/>
              </w:rPr>
            </w:pPr>
            <w:r w:rsidRPr="0093248E">
              <w:rPr>
                <w:b/>
                <w:sz w:val="20"/>
                <w:szCs w:val="20"/>
              </w:rPr>
              <w:t>from 5500</w:t>
            </w:r>
          </w:p>
        </w:tc>
        <w:tc>
          <w:tcPr>
            <w:tcW w:w="2193" w:type="dxa"/>
          </w:tcPr>
          <w:p w:rsidR="0093248E" w:rsidRPr="0093248E" w:rsidRDefault="0093248E" w:rsidP="00103C0A">
            <w:pPr>
              <w:rPr>
                <w:b/>
                <w:sz w:val="20"/>
                <w:szCs w:val="20"/>
              </w:rPr>
            </w:pPr>
            <w:r w:rsidRPr="0093248E">
              <w:rPr>
                <w:b/>
                <w:sz w:val="20"/>
                <w:szCs w:val="20"/>
              </w:rPr>
              <w:t>Detail/ notes:</w:t>
            </w:r>
          </w:p>
        </w:tc>
      </w:tr>
      <w:tr w:rsidR="0093248E" w:rsidTr="0093248E">
        <w:tc>
          <w:tcPr>
            <w:tcW w:w="806" w:type="dxa"/>
            <w:shd w:val="clear" w:color="auto" w:fill="FFF2CC" w:themeFill="accent4" w:themeFillTint="33"/>
          </w:tcPr>
          <w:p w:rsidR="0093248E" w:rsidRDefault="0093248E" w:rsidP="00103C0A">
            <w:r>
              <w:t>5511</w:t>
            </w:r>
          </w:p>
        </w:tc>
        <w:tc>
          <w:tcPr>
            <w:tcW w:w="1228" w:type="dxa"/>
            <w:shd w:val="clear" w:color="auto" w:fill="FFF2CC" w:themeFill="accent4" w:themeFillTint="33"/>
          </w:tcPr>
          <w:p w:rsidR="0093248E" w:rsidRPr="00A966B8" w:rsidRDefault="0093248E" w:rsidP="00103C0A">
            <w:pPr>
              <w:rPr>
                <w:sz w:val="20"/>
                <w:szCs w:val="20"/>
              </w:rPr>
            </w:pPr>
            <w:r w:rsidRPr="00A966B8">
              <w:rPr>
                <w:sz w:val="20"/>
                <w:szCs w:val="20"/>
              </w:rPr>
              <w:t>SG PAS funding</w:t>
            </w:r>
          </w:p>
        </w:tc>
        <w:tc>
          <w:tcPr>
            <w:tcW w:w="1073" w:type="dxa"/>
            <w:shd w:val="clear" w:color="auto" w:fill="FFF2CC" w:themeFill="accent4" w:themeFillTint="33"/>
          </w:tcPr>
          <w:p w:rsidR="0093248E" w:rsidRPr="00A966B8" w:rsidRDefault="0093248E" w:rsidP="00103C0A">
            <w:pPr>
              <w:jc w:val="right"/>
              <w:rPr>
                <w:b/>
                <w:sz w:val="20"/>
                <w:szCs w:val="20"/>
              </w:rPr>
            </w:pPr>
            <w:r w:rsidRPr="00A966B8">
              <w:rPr>
                <w:b/>
                <w:sz w:val="20"/>
                <w:szCs w:val="20"/>
              </w:rPr>
              <w:t>£8,000-00</w:t>
            </w:r>
          </w:p>
        </w:tc>
        <w:tc>
          <w:tcPr>
            <w:tcW w:w="1123" w:type="dxa"/>
            <w:shd w:val="clear" w:color="auto" w:fill="FFF2CC" w:themeFill="accent4" w:themeFillTint="33"/>
          </w:tcPr>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r w:rsidRPr="00A966B8">
              <w:rPr>
                <w:b/>
                <w:sz w:val="20"/>
                <w:szCs w:val="20"/>
              </w:rPr>
              <w:t>£6,000-00</w:t>
            </w:r>
          </w:p>
        </w:tc>
        <w:tc>
          <w:tcPr>
            <w:tcW w:w="1540" w:type="dxa"/>
            <w:shd w:val="clear" w:color="auto" w:fill="FFF2CC" w:themeFill="accent4" w:themeFillTint="33"/>
          </w:tcPr>
          <w:p w:rsidR="0093248E" w:rsidRPr="008B1133" w:rsidRDefault="0093248E" w:rsidP="00103C0A">
            <w:pPr>
              <w:rPr>
                <w:sz w:val="20"/>
                <w:szCs w:val="20"/>
              </w:rPr>
            </w:pPr>
            <w:r w:rsidRPr="008B1133">
              <w:rPr>
                <w:sz w:val="20"/>
                <w:szCs w:val="20"/>
              </w:rPr>
              <w:t>Girls project</w:t>
            </w:r>
          </w:p>
        </w:tc>
        <w:tc>
          <w:tcPr>
            <w:tcW w:w="1392" w:type="dxa"/>
            <w:shd w:val="clear" w:color="auto" w:fill="F7CAAC" w:themeFill="accent2" w:themeFillTint="66"/>
          </w:tcPr>
          <w:p w:rsidR="0093248E" w:rsidRPr="00A966B8" w:rsidRDefault="0093248E" w:rsidP="00103C0A">
            <w:pPr>
              <w:jc w:val="right"/>
              <w:rPr>
                <w:b/>
                <w:sz w:val="20"/>
                <w:szCs w:val="20"/>
              </w:rPr>
            </w:pPr>
            <w:r w:rsidRPr="00A966B8">
              <w:rPr>
                <w:b/>
                <w:sz w:val="20"/>
                <w:szCs w:val="20"/>
              </w:rPr>
              <w:t>£5,809-31</w:t>
            </w:r>
          </w:p>
        </w:tc>
        <w:tc>
          <w:tcPr>
            <w:tcW w:w="1259" w:type="dxa"/>
            <w:shd w:val="clear" w:color="auto" w:fill="F7CAAC" w:themeFill="accent2" w:themeFillTint="66"/>
          </w:tcPr>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r w:rsidRPr="00A966B8">
              <w:rPr>
                <w:b/>
                <w:sz w:val="20"/>
                <w:szCs w:val="20"/>
              </w:rPr>
              <w:t>£5,925-50</w:t>
            </w:r>
          </w:p>
        </w:tc>
        <w:tc>
          <w:tcPr>
            <w:tcW w:w="991" w:type="dxa"/>
          </w:tcPr>
          <w:p w:rsidR="0093248E" w:rsidRDefault="0093248E" w:rsidP="00103C0A">
            <w:pPr>
              <w:jc w:val="center"/>
              <w:rPr>
                <w:sz w:val="20"/>
                <w:szCs w:val="20"/>
              </w:rPr>
            </w:pPr>
          </w:p>
          <w:p w:rsidR="0093248E" w:rsidRDefault="0093248E" w:rsidP="00103C0A">
            <w:pPr>
              <w:jc w:val="center"/>
              <w:rPr>
                <w:sz w:val="20"/>
                <w:szCs w:val="20"/>
              </w:rPr>
            </w:pPr>
          </w:p>
          <w:p w:rsidR="0093248E" w:rsidRDefault="0093248E" w:rsidP="00103C0A">
            <w:pPr>
              <w:jc w:val="center"/>
              <w:rPr>
                <w:sz w:val="20"/>
                <w:szCs w:val="20"/>
              </w:rPr>
            </w:pPr>
          </w:p>
          <w:p w:rsidR="0093248E" w:rsidRDefault="0093248E" w:rsidP="00103C0A">
            <w:pPr>
              <w:jc w:val="center"/>
              <w:rPr>
                <w:sz w:val="20"/>
                <w:szCs w:val="20"/>
              </w:rPr>
            </w:pPr>
          </w:p>
          <w:p w:rsidR="0093248E" w:rsidRDefault="0093248E" w:rsidP="00103C0A">
            <w:pPr>
              <w:jc w:val="center"/>
              <w:rPr>
                <w:sz w:val="20"/>
                <w:szCs w:val="20"/>
              </w:rPr>
            </w:pPr>
          </w:p>
          <w:p w:rsidR="0093248E" w:rsidRPr="00BB483E" w:rsidRDefault="0093248E" w:rsidP="00103C0A">
            <w:pPr>
              <w:jc w:val="center"/>
              <w:rPr>
                <w:b/>
                <w:sz w:val="20"/>
                <w:szCs w:val="20"/>
              </w:rPr>
            </w:pPr>
          </w:p>
        </w:tc>
        <w:tc>
          <w:tcPr>
            <w:tcW w:w="1259" w:type="dxa"/>
            <w:shd w:val="clear" w:color="auto" w:fill="E7E6E6" w:themeFill="background2"/>
          </w:tcPr>
          <w:p w:rsidR="0093248E" w:rsidRPr="00A966B8" w:rsidRDefault="0093248E" w:rsidP="00103C0A">
            <w:pPr>
              <w:rPr>
                <w:sz w:val="20"/>
                <w:szCs w:val="20"/>
              </w:rPr>
            </w:pPr>
          </w:p>
        </w:tc>
        <w:tc>
          <w:tcPr>
            <w:tcW w:w="1255" w:type="dxa"/>
            <w:shd w:val="clear" w:color="auto" w:fill="E7E6E6" w:themeFill="background2"/>
          </w:tcPr>
          <w:p w:rsidR="0093248E" w:rsidRPr="00A966B8" w:rsidRDefault="0093248E" w:rsidP="00103C0A">
            <w:pPr>
              <w:rPr>
                <w:sz w:val="20"/>
                <w:szCs w:val="20"/>
              </w:rPr>
            </w:pPr>
          </w:p>
        </w:tc>
        <w:tc>
          <w:tcPr>
            <w:tcW w:w="1271" w:type="dxa"/>
            <w:shd w:val="clear" w:color="auto" w:fill="E7E6E6" w:themeFill="background2"/>
          </w:tcPr>
          <w:p w:rsidR="0093248E" w:rsidRPr="00A966B8" w:rsidRDefault="0093248E" w:rsidP="00103C0A">
            <w:pPr>
              <w:rPr>
                <w:sz w:val="20"/>
                <w:szCs w:val="20"/>
              </w:rPr>
            </w:pPr>
          </w:p>
        </w:tc>
        <w:tc>
          <w:tcPr>
            <w:tcW w:w="2193" w:type="dxa"/>
          </w:tcPr>
          <w:p w:rsidR="0093248E" w:rsidRPr="0075464A" w:rsidRDefault="0093248E" w:rsidP="00103C0A">
            <w:pPr>
              <w:rPr>
                <w:b/>
                <w:sz w:val="16"/>
                <w:szCs w:val="16"/>
              </w:rPr>
            </w:pPr>
            <w:r w:rsidRPr="0075464A">
              <w:rPr>
                <w:b/>
                <w:sz w:val="16"/>
                <w:szCs w:val="16"/>
              </w:rPr>
              <w:t>17/18 breakdown:</w:t>
            </w:r>
          </w:p>
          <w:p w:rsidR="0093248E" w:rsidRPr="0075464A" w:rsidRDefault="0093248E" w:rsidP="00103C0A">
            <w:pPr>
              <w:rPr>
                <w:sz w:val="16"/>
                <w:szCs w:val="16"/>
              </w:rPr>
            </w:pPr>
            <w:r w:rsidRPr="0075464A">
              <w:rPr>
                <w:sz w:val="16"/>
                <w:szCs w:val="16"/>
              </w:rPr>
              <w:t xml:space="preserve">1 x £11-38 x 2.75 x 48 + 27% = </w:t>
            </w:r>
            <w:r w:rsidRPr="0075464A">
              <w:rPr>
                <w:b/>
                <w:sz w:val="16"/>
                <w:szCs w:val="16"/>
              </w:rPr>
              <w:t>£1,907-74</w:t>
            </w:r>
          </w:p>
          <w:p w:rsidR="0093248E" w:rsidRPr="0075464A" w:rsidRDefault="0093248E" w:rsidP="00103C0A">
            <w:pPr>
              <w:rPr>
                <w:sz w:val="16"/>
                <w:szCs w:val="16"/>
              </w:rPr>
            </w:pPr>
            <w:r w:rsidRPr="0075464A">
              <w:rPr>
                <w:sz w:val="16"/>
                <w:szCs w:val="16"/>
              </w:rPr>
              <w:t xml:space="preserve">2 x £9-37 x 2.75 x 48 + 27% </w:t>
            </w:r>
          </w:p>
          <w:p w:rsidR="0093248E" w:rsidRPr="0075464A" w:rsidRDefault="0093248E" w:rsidP="00103C0A">
            <w:pPr>
              <w:rPr>
                <w:b/>
                <w:sz w:val="16"/>
                <w:szCs w:val="16"/>
              </w:rPr>
            </w:pPr>
            <w:r w:rsidRPr="0075464A">
              <w:rPr>
                <w:sz w:val="16"/>
                <w:szCs w:val="16"/>
              </w:rPr>
              <w:t xml:space="preserve">= </w:t>
            </w:r>
            <w:r w:rsidRPr="0075464A">
              <w:rPr>
                <w:b/>
                <w:sz w:val="16"/>
                <w:szCs w:val="16"/>
              </w:rPr>
              <w:t>£3,141-57</w:t>
            </w:r>
          </w:p>
          <w:p w:rsidR="0093248E" w:rsidRPr="0075464A" w:rsidRDefault="0093248E" w:rsidP="00103C0A">
            <w:pPr>
              <w:rPr>
                <w:sz w:val="16"/>
                <w:szCs w:val="16"/>
              </w:rPr>
            </w:pPr>
            <w:r w:rsidRPr="0075464A">
              <w:rPr>
                <w:sz w:val="16"/>
                <w:szCs w:val="16"/>
              </w:rPr>
              <w:t>38 x £20-00 resources</w:t>
            </w:r>
          </w:p>
          <w:p w:rsidR="0093248E" w:rsidRDefault="0093248E" w:rsidP="00103C0A">
            <w:pPr>
              <w:rPr>
                <w:b/>
                <w:sz w:val="16"/>
                <w:szCs w:val="16"/>
              </w:rPr>
            </w:pPr>
            <w:r w:rsidRPr="0075464A">
              <w:rPr>
                <w:sz w:val="16"/>
                <w:szCs w:val="16"/>
              </w:rPr>
              <w:t xml:space="preserve">= </w:t>
            </w:r>
            <w:r w:rsidRPr="0075464A">
              <w:rPr>
                <w:b/>
                <w:sz w:val="16"/>
                <w:szCs w:val="16"/>
              </w:rPr>
              <w:t>£760-00</w:t>
            </w:r>
          </w:p>
          <w:p w:rsidR="0093248E" w:rsidRDefault="0093248E" w:rsidP="00103C0A">
            <w:pPr>
              <w:rPr>
                <w:b/>
                <w:sz w:val="16"/>
                <w:szCs w:val="16"/>
              </w:rPr>
            </w:pPr>
            <w:r>
              <w:rPr>
                <w:b/>
                <w:sz w:val="16"/>
                <w:szCs w:val="16"/>
              </w:rPr>
              <w:t>18/19 breakdown:</w:t>
            </w:r>
          </w:p>
          <w:p w:rsidR="0093248E" w:rsidRPr="0075464A" w:rsidRDefault="0093248E" w:rsidP="00103C0A">
            <w:pPr>
              <w:rPr>
                <w:sz w:val="16"/>
                <w:szCs w:val="16"/>
              </w:rPr>
            </w:pPr>
            <w:r>
              <w:rPr>
                <w:b/>
                <w:sz w:val="16"/>
                <w:szCs w:val="16"/>
              </w:rPr>
              <w:t>As above + 2%</w:t>
            </w:r>
          </w:p>
        </w:tc>
      </w:tr>
      <w:tr w:rsidR="0093248E" w:rsidTr="0093248E">
        <w:tc>
          <w:tcPr>
            <w:tcW w:w="806" w:type="dxa"/>
            <w:shd w:val="clear" w:color="auto" w:fill="FFF2CC" w:themeFill="accent4" w:themeFillTint="33"/>
          </w:tcPr>
          <w:p w:rsidR="0093248E" w:rsidRDefault="0093248E" w:rsidP="00103C0A">
            <w:r>
              <w:t>5511</w:t>
            </w:r>
          </w:p>
        </w:tc>
        <w:tc>
          <w:tcPr>
            <w:tcW w:w="1228" w:type="dxa"/>
            <w:shd w:val="clear" w:color="auto" w:fill="FFF2CC" w:themeFill="accent4" w:themeFillTint="33"/>
          </w:tcPr>
          <w:p w:rsidR="0093248E" w:rsidRPr="00A966B8" w:rsidRDefault="0093248E" w:rsidP="00103C0A">
            <w:pPr>
              <w:rPr>
                <w:sz w:val="20"/>
                <w:szCs w:val="20"/>
              </w:rPr>
            </w:pPr>
            <w:r w:rsidRPr="00A966B8">
              <w:rPr>
                <w:sz w:val="20"/>
                <w:szCs w:val="20"/>
              </w:rPr>
              <w:t>SG PAS funding</w:t>
            </w:r>
          </w:p>
        </w:tc>
        <w:tc>
          <w:tcPr>
            <w:tcW w:w="1073" w:type="dxa"/>
            <w:shd w:val="clear" w:color="auto" w:fill="FFF2CC" w:themeFill="accent4" w:themeFillTint="33"/>
          </w:tcPr>
          <w:p w:rsidR="0093248E" w:rsidRDefault="0093248E" w:rsidP="00103C0A"/>
        </w:tc>
        <w:tc>
          <w:tcPr>
            <w:tcW w:w="1123" w:type="dxa"/>
            <w:shd w:val="clear" w:color="auto" w:fill="FFF2CC" w:themeFill="accent4" w:themeFillTint="33"/>
          </w:tcPr>
          <w:p w:rsidR="0093248E" w:rsidRDefault="0093248E" w:rsidP="00103C0A"/>
        </w:tc>
        <w:tc>
          <w:tcPr>
            <w:tcW w:w="1540" w:type="dxa"/>
            <w:shd w:val="clear" w:color="auto" w:fill="FFF2CC" w:themeFill="accent4" w:themeFillTint="33"/>
          </w:tcPr>
          <w:p w:rsidR="0093248E" w:rsidRPr="008B1133" w:rsidRDefault="0093248E" w:rsidP="00103C0A">
            <w:pPr>
              <w:rPr>
                <w:sz w:val="20"/>
                <w:szCs w:val="20"/>
              </w:rPr>
            </w:pPr>
            <w:r w:rsidRPr="008B1133">
              <w:rPr>
                <w:sz w:val="20"/>
                <w:szCs w:val="20"/>
              </w:rPr>
              <w:t>Detached YW session @ Skatepark</w:t>
            </w:r>
          </w:p>
          <w:p w:rsidR="0093248E" w:rsidRPr="008B1133" w:rsidRDefault="0093248E" w:rsidP="00103C0A">
            <w:pPr>
              <w:rPr>
                <w:sz w:val="20"/>
                <w:szCs w:val="20"/>
              </w:rPr>
            </w:pPr>
          </w:p>
        </w:tc>
        <w:tc>
          <w:tcPr>
            <w:tcW w:w="1392" w:type="dxa"/>
            <w:shd w:val="clear" w:color="auto" w:fill="F7CAAC" w:themeFill="accent2" w:themeFillTint="66"/>
          </w:tcPr>
          <w:p w:rsidR="0093248E" w:rsidRPr="00A966B8" w:rsidRDefault="0093248E" w:rsidP="00103C0A">
            <w:pPr>
              <w:jc w:val="right"/>
              <w:rPr>
                <w:b/>
                <w:sz w:val="20"/>
                <w:szCs w:val="20"/>
              </w:rPr>
            </w:pPr>
            <w:r w:rsidRPr="00A966B8">
              <w:rPr>
                <w:b/>
                <w:sz w:val="20"/>
                <w:szCs w:val="20"/>
              </w:rPr>
              <w:t>£3,114-00</w:t>
            </w:r>
          </w:p>
        </w:tc>
        <w:tc>
          <w:tcPr>
            <w:tcW w:w="1259" w:type="dxa"/>
            <w:shd w:val="clear" w:color="auto" w:fill="F7CAAC" w:themeFill="accent2" w:themeFillTint="66"/>
          </w:tcPr>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sz w:val="20"/>
                <w:szCs w:val="20"/>
              </w:rPr>
            </w:pPr>
            <w:r w:rsidRPr="00A966B8">
              <w:rPr>
                <w:b/>
                <w:sz w:val="20"/>
                <w:szCs w:val="20"/>
              </w:rPr>
              <w:t>£3,176-28</w:t>
            </w:r>
          </w:p>
        </w:tc>
        <w:tc>
          <w:tcPr>
            <w:tcW w:w="991" w:type="dxa"/>
          </w:tcPr>
          <w:p w:rsidR="0093248E" w:rsidRDefault="0093248E" w:rsidP="00103C0A">
            <w:pPr>
              <w:jc w:val="center"/>
              <w:rPr>
                <w:b/>
                <w:sz w:val="20"/>
                <w:szCs w:val="20"/>
              </w:rPr>
            </w:pPr>
          </w:p>
          <w:p w:rsidR="0093248E" w:rsidRDefault="0093248E" w:rsidP="00103C0A">
            <w:pPr>
              <w:jc w:val="center"/>
              <w:rPr>
                <w:b/>
                <w:sz w:val="20"/>
                <w:szCs w:val="20"/>
              </w:rPr>
            </w:pPr>
          </w:p>
          <w:p w:rsidR="0093248E" w:rsidRDefault="0093248E" w:rsidP="00103C0A">
            <w:pPr>
              <w:jc w:val="center"/>
              <w:rPr>
                <w:b/>
                <w:sz w:val="20"/>
                <w:szCs w:val="20"/>
              </w:rPr>
            </w:pPr>
          </w:p>
          <w:p w:rsidR="0093248E" w:rsidRDefault="0093248E" w:rsidP="00103C0A">
            <w:pPr>
              <w:jc w:val="center"/>
              <w:rPr>
                <w:b/>
                <w:sz w:val="20"/>
                <w:szCs w:val="20"/>
              </w:rPr>
            </w:pPr>
          </w:p>
          <w:p w:rsidR="0093248E" w:rsidRPr="00A966B8" w:rsidRDefault="0093248E" w:rsidP="00103C0A">
            <w:pPr>
              <w:jc w:val="center"/>
              <w:rPr>
                <w:sz w:val="20"/>
                <w:szCs w:val="20"/>
              </w:rPr>
            </w:pPr>
          </w:p>
        </w:tc>
        <w:tc>
          <w:tcPr>
            <w:tcW w:w="1259" w:type="dxa"/>
            <w:shd w:val="clear" w:color="auto" w:fill="E7E6E6" w:themeFill="background2"/>
          </w:tcPr>
          <w:p w:rsidR="0093248E" w:rsidRPr="00A966B8" w:rsidRDefault="0093248E" w:rsidP="00103C0A">
            <w:pPr>
              <w:rPr>
                <w:sz w:val="20"/>
                <w:szCs w:val="20"/>
              </w:rPr>
            </w:pPr>
          </w:p>
        </w:tc>
        <w:tc>
          <w:tcPr>
            <w:tcW w:w="1255" w:type="dxa"/>
            <w:shd w:val="clear" w:color="auto" w:fill="E7E6E6" w:themeFill="background2"/>
          </w:tcPr>
          <w:p w:rsidR="0093248E" w:rsidRPr="00A966B8" w:rsidRDefault="0093248E" w:rsidP="00103C0A">
            <w:pPr>
              <w:rPr>
                <w:sz w:val="20"/>
                <w:szCs w:val="20"/>
              </w:rPr>
            </w:pPr>
          </w:p>
        </w:tc>
        <w:tc>
          <w:tcPr>
            <w:tcW w:w="1271" w:type="dxa"/>
            <w:shd w:val="clear" w:color="auto" w:fill="E7E6E6" w:themeFill="background2"/>
          </w:tcPr>
          <w:p w:rsidR="0093248E" w:rsidRPr="00A966B8" w:rsidRDefault="0093248E" w:rsidP="00103C0A">
            <w:pPr>
              <w:rPr>
                <w:sz w:val="20"/>
                <w:szCs w:val="20"/>
              </w:rPr>
            </w:pPr>
          </w:p>
        </w:tc>
        <w:tc>
          <w:tcPr>
            <w:tcW w:w="2193" w:type="dxa"/>
          </w:tcPr>
          <w:p w:rsidR="0093248E" w:rsidRPr="00CB1CED" w:rsidRDefault="0093248E" w:rsidP="00103C0A">
            <w:pPr>
              <w:rPr>
                <w:sz w:val="16"/>
                <w:szCs w:val="16"/>
              </w:rPr>
            </w:pPr>
            <w:r w:rsidRPr="00CB1CED">
              <w:rPr>
                <w:sz w:val="16"/>
                <w:szCs w:val="16"/>
              </w:rPr>
              <w:t xml:space="preserve">1 x £17-95 x 2.5 x 48 </w:t>
            </w:r>
          </w:p>
          <w:p w:rsidR="0093248E" w:rsidRPr="00CB1CED" w:rsidRDefault="0093248E" w:rsidP="00103C0A">
            <w:pPr>
              <w:rPr>
                <w:b/>
                <w:sz w:val="16"/>
                <w:szCs w:val="16"/>
              </w:rPr>
            </w:pPr>
            <w:r w:rsidRPr="00CB1CED">
              <w:rPr>
                <w:sz w:val="16"/>
                <w:szCs w:val="16"/>
              </w:rPr>
              <w:t xml:space="preserve">= </w:t>
            </w:r>
            <w:r w:rsidRPr="00CB1CED">
              <w:rPr>
                <w:b/>
                <w:sz w:val="16"/>
                <w:szCs w:val="16"/>
              </w:rPr>
              <w:t>£2,154-00</w:t>
            </w:r>
          </w:p>
          <w:p w:rsidR="0093248E" w:rsidRPr="00CB1CED" w:rsidRDefault="0093248E" w:rsidP="00103C0A">
            <w:pPr>
              <w:rPr>
                <w:sz w:val="16"/>
                <w:szCs w:val="16"/>
              </w:rPr>
            </w:pPr>
            <w:r w:rsidRPr="00CB1CED">
              <w:rPr>
                <w:sz w:val="16"/>
                <w:szCs w:val="16"/>
              </w:rPr>
              <w:t>48 x £20-00 resources</w:t>
            </w:r>
          </w:p>
          <w:p w:rsidR="0093248E" w:rsidRDefault="0093248E" w:rsidP="00103C0A">
            <w:pPr>
              <w:rPr>
                <w:b/>
                <w:sz w:val="16"/>
                <w:szCs w:val="16"/>
              </w:rPr>
            </w:pPr>
            <w:r w:rsidRPr="00CB1CED">
              <w:rPr>
                <w:sz w:val="16"/>
                <w:szCs w:val="16"/>
              </w:rPr>
              <w:t xml:space="preserve">= </w:t>
            </w:r>
            <w:r w:rsidRPr="00CB1CED">
              <w:rPr>
                <w:b/>
                <w:sz w:val="16"/>
                <w:szCs w:val="16"/>
              </w:rPr>
              <w:t>£960-00</w:t>
            </w:r>
          </w:p>
          <w:p w:rsidR="0093248E" w:rsidRDefault="0093248E" w:rsidP="00103C0A">
            <w:pPr>
              <w:rPr>
                <w:b/>
                <w:sz w:val="16"/>
                <w:szCs w:val="16"/>
              </w:rPr>
            </w:pPr>
            <w:r>
              <w:rPr>
                <w:b/>
                <w:sz w:val="16"/>
                <w:szCs w:val="16"/>
              </w:rPr>
              <w:t>18/19 breakdown:</w:t>
            </w:r>
          </w:p>
          <w:p w:rsidR="0093248E" w:rsidRPr="00CB1CED" w:rsidRDefault="0093248E" w:rsidP="00103C0A">
            <w:pPr>
              <w:rPr>
                <w:sz w:val="16"/>
                <w:szCs w:val="16"/>
              </w:rPr>
            </w:pPr>
            <w:r>
              <w:rPr>
                <w:b/>
                <w:sz w:val="16"/>
                <w:szCs w:val="16"/>
              </w:rPr>
              <w:t>As above + 2%</w:t>
            </w:r>
          </w:p>
        </w:tc>
      </w:tr>
      <w:tr w:rsidR="0093248E" w:rsidTr="0093248E">
        <w:tc>
          <w:tcPr>
            <w:tcW w:w="806" w:type="dxa"/>
            <w:shd w:val="clear" w:color="auto" w:fill="FFF2CC" w:themeFill="accent4" w:themeFillTint="33"/>
          </w:tcPr>
          <w:p w:rsidR="0093248E" w:rsidRDefault="0093248E" w:rsidP="00103C0A">
            <w:r>
              <w:t>5511</w:t>
            </w:r>
          </w:p>
        </w:tc>
        <w:tc>
          <w:tcPr>
            <w:tcW w:w="1228" w:type="dxa"/>
            <w:shd w:val="clear" w:color="auto" w:fill="FFF2CC" w:themeFill="accent4" w:themeFillTint="33"/>
          </w:tcPr>
          <w:p w:rsidR="0093248E" w:rsidRPr="00A966B8" w:rsidRDefault="0093248E" w:rsidP="00103C0A">
            <w:pPr>
              <w:rPr>
                <w:sz w:val="20"/>
                <w:szCs w:val="20"/>
              </w:rPr>
            </w:pPr>
            <w:r w:rsidRPr="00A966B8">
              <w:rPr>
                <w:sz w:val="20"/>
                <w:szCs w:val="20"/>
              </w:rPr>
              <w:t>SG PAS funding</w:t>
            </w:r>
          </w:p>
        </w:tc>
        <w:tc>
          <w:tcPr>
            <w:tcW w:w="1073" w:type="dxa"/>
            <w:shd w:val="clear" w:color="auto" w:fill="FFF2CC" w:themeFill="accent4" w:themeFillTint="33"/>
          </w:tcPr>
          <w:p w:rsidR="0093248E" w:rsidRDefault="0093248E" w:rsidP="00103C0A"/>
        </w:tc>
        <w:tc>
          <w:tcPr>
            <w:tcW w:w="1123" w:type="dxa"/>
            <w:shd w:val="clear" w:color="auto" w:fill="FFF2CC" w:themeFill="accent4" w:themeFillTint="33"/>
          </w:tcPr>
          <w:p w:rsidR="0093248E" w:rsidRDefault="0093248E" w:rsidP="00103C0A"/>
        </w:tc>
        <w:tc>
          <w:tcPr>
            <w:tcW w:w="1540" w:type="dxa"/>
            <w:shd w:val="clear" w:color="auto" w:fill="FFF2CC" w:themeFill="accent4" w:themeFillTint="33"/>
          </w:tcPr>
          <w:p w:rsidR="0093248E" w:rsidRPr="008B1133" w:rsidRDefault="0093248E" w:rsidP="00103C0A">
            <w:pPr>
              <w:rPr>
                <w:sz w:val="20"/>
                <w:szCs w:val="20"/>
              </w:rPr>
            </w:pPr>
            <w:r w:rsidRPr="008B1133">
              <w:rPr>
                <w:sz w:val="20"/>
                <w:szCs w:val="20"/>
              </w:rPr>
              <w:t>Detached YW session @ Jubilee Centre</w:t>
            </w:r>
          </w:p>
          <w:p w:rsidR="0093248E" w:rsidRPr="008B1133" w:rsidRDefault="0093248E" w:rsidP="00103C0A">
            <w:pPr>
              <w:rPr>
                <w:sz w:val="20"/>
                <w:szCs w:val="20"/>
              </w:rPr>
            </w:pPr>
          </w:p>
        </w:tc>
        <w:tc>
          <w:tcPr>
            <w:tcW w:w="1392" w:type="dxa"/>
            <w:shd w:val="clear" w:color="auto" w:fill="F7CAAC" w:themeFill="accent2" w:themeFillTint="66"/>
          </w:tcPr>
          <w:p w:rsidR="0093248E" w:rsidRPr="00A966B8" w:rsidRDefault="0093248E" w:rsidP="00103C0A">
            <w:pPr>
              <w:jc w:val="right"/>
              <w:rPr>
                <w:b/>
                <w:sz w:val="20"/>
                <w:szCs w:val="20"/>
              </w:rPr>
            </w:pPr>
            <w:r w:rsidRPr="00A966B8">
              <w:rPr>
                <w:b/>
                <w:sz w:val="20"/>
                <w:szCs w:val="20"/>
              </w:rPr>
              <w:t>£3,114-00</w:t>
            </w:r>
          </w:p>
        </w:tc>
        <w:tc>
          <w:tcPr>
            <w:tcW w:w="1259" w:type="dxa"/>
            <w:shd w:val="clear" w:color="auto" w:fill="F7CAAC" w:themeFill="accent2" w:themeFillTint="66"/>
          </w:tcPr>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r w:rsidRPr="00A966B8">
              <w:rPr>
                <w:b/>
                <w:sz w:val="20"/>
                <w:szCs w:val="20"/>
              </w:rPr>
              <w:t>£3,176-28</w:t>
            </w:r>
          </w:p>
        </w:tc>
        <w:tc>
          <w:tcPr>
            <w:tcW w:w="991" w:type="dxa"/>
          </w:tcPr>
          <w:p w:rsidR="0093248E" w:rsidRDefault="0093248E" w:rsidP="00103C0A">
            <w:pPr>
              <w:jc w:val="center"/>
              <w:rPr>
                <w:b/>
                <w:sz w:val="20"/>
                <w:szCs w:val="20"/>
              </w:rPr>
            </w:pPr>
          </w:p>
          <w:p w:rsidR="0093248E" w:rsidRDefault="0093248E" w:rsidP="00103C0A">
            <w:pPr>
              <w:jc w:val="center"/>
              <w:rPr>
                <w:b/>
                <w:sz w:val="20"/>
                <w:szCs w:val="20"/>
              </w:rPr>
            </w:pPr>
          </w:p>
          <w:p w:rsidR="0093248E" w:rsidRDefault="0093248E" w:rsidP="00103C0A">
            <w:pPr>
              <w:jc w:val="center"/>
              <w:rPr>
                <w:b/>
                <w:sz w:val="20"/>
                <w:szCs w:val="20"/>
              </w:rPr>
            </w:pPr>
          </w:p>
          <w:p w:rsidR="0093248E" w:rsidRDefault="0093248E" w:rsidP="00103C0A">
            <w:pPr>
              <w:jc w:val="center"/>
              <w:rPr>
                <w:b/>
                <w:sz w:val="20"/>
                <w:szCs w:val="20"/>
              </w:rPr>
            </w:pPr>
          </w:p>
          <w:p w:rsidR="0093248E" w:rsidRPr="00A966B8" w:rsidRDefault="0093248E" w:rsidP="00103C0A">
            <w:pPr>
              <w:jc w:val="center"/>
              <w:rPr>
                <w:sz w:val="20"/>
                <w:szCs w:val="20"/>
              </w:rPr>
            </w:pPr>
          </w:p>
        </w:tc>
        <w:tc>
          <w:tcPr>
            <w:tcW w:w="1259" w:type="dxa"/>
            <w:shd w:val="clear" w:color="auto" w:fill="E7E6E6" w:themeFill="background2"/>
          </w:tcPr>
          <w:p w:rsidR="0093248E" w:rsidRPr="00A966B8" w:rsidRDefault="0093248E" w:rsidP="00103C0A">
            <w:pPr>
              <w:rPr>
                <w:sz w:val="20"/>
                <w:szCs w:val="20"/>
              </w:rPr>
            </w:pPr>
          </w:p>
        </w:tc>
        <w:tc>
          <w:tcPr>
            <w:tcW w:w="1255" w:type="dxa"/>
            <w:shd w:val="clear" w:color="auto" w:fill="E7E6E6" w:themeFill="background2"/>
          </w:tcPr>
          <w:p w:rsidR="0093248E" w:rsidRPr="00A966B8" w:rsidRDefault="0093248E" w:rsidP="00103C0A">
            <w:pPr>
              <w:rPr>
                <w:sz w:val="20"/>
                <w:szCs w:val="20"/>
              </w:rPr>
            </w:pPr>
          </w:p>
        </w:tc>
        <w:tc>
          <w:tcPr>
            <w:tcW w:w="1271" w:type="dxa"/>
            <w:shd w:val="clear" w:color="auto" w:fill="E7E6E6" w:themeFill="background2"/>
          </w:tcPr>
          <w:p w:rsidR="0093248E" w:rsidRPr="00A966B8" w:rsidRDefault="0093248E" w:rsidP="00103C0A">
            <w:pPr>
              <w:rPr>
                <w:sz w:val="20"/>
                <w:szCs w:val="20"/>
              </w:rPr>
            </w:pPr>
          </w:p>
        </w:tc>
        <w:tc>
          <w:tcPr>
            <w:tcW w:w="2193" w:type="dxa"/>
          </w:tcPr>
          <w:p w:rsidR="0093248E" w:rsidRPr="00CB1CED" w:rsidRDefault="0093248E" w:rsidP="00103C0A">
            <w:pPr>
              <w:rPr>
                <w:sz w:val="16"/>
                <w:szCs w:val="16"/>
              </w:rPr>
            </w:pPr>
            <w:r w:rsidRPr="00CB1CED">
              <w:rPr>
                <w:sz w:val="16"/>
                <w:szCs w:val="16"/>
              </w:rPr>
              <w:t xml:space="preserve">1 x £17-95 x 2.5 x 48 </w:t>
            </w:r>
          </w:p>
          <w:p w:rsidR="0093248E" w:rsidRPr="00CB1CED" w:rsidRDefault="0093248E" w:rsidP="00103C0A">
            <w:pPr>
              <w:rPr>
                <w:b/>
                <w:sz w:val="16"/>
                <w:szCs w:val="16"/>
              </w:rPr>
            </w:pPr>
            <w:r w:rsidRPr="00CB1CED">
              <w:rPr>
                <w:sz w:val="16"/>
                <w:szCs w:val="16"/>
              </w:rPr>
              <w:t xml:space="preserve">= </w:t>
            </w:r>
            <w:r w:rsidRPr="00CB1CED">
              <w:rPr>
                <w:b/>
                <w:sz w:val="16"/>
                <w:szCs w:val="16"/>
              </w:rPr>
              <w:t>£2,154-00</w:t>
            </w:r>
          </w:p>
          <w:p w:rsidR="0093248E" w:rsidRPr="00CB1CED" w:rsidRDefault="0093248E" w:rsidP="00103C0A">
            <w:pPr>
              <w:rPr>
                <w:sz w:val="16"/>
                <w:szCs w:val="16"/>
              </w:rPr>
            </w:pPr>
            <w:r w:rsidRPr="00CB1CED">
              <w:rPr>
                <w:sz w:val="16"/>
                <w:szCs w:val="16"/>
              </w:rPr>
              <w:t>48 x £20-00 resources</w:t>
            </w:r>
          </w:p>
          <w:p w:rsidR="0093248E" w:rsidRDefault="0093248E" w:rsidP="00103C0A">
            <w:pPr>
              <w:rPr>
                <w:b/>
                <w:sz w:val="16"/>
                <w:szCs w:val="16"/>
              </w:rPr>
            </w:pPr>
            <w:r w:rsidRPr="00CB1CED">
              <w:rPr>
                <w:sz w:val="16"/>
                <w:szCs w:val="16"/>
              </w:rPr>
              <w:t xml:space="preserve">= </w:t>
            </w:r>
            <w:r w:rsidRPr="00CB1CED">
              <w:rPr>
                <w:b/>
                <w:sz w:val="16"/>
                <w:szCs w:val="16"/>
              </w:rPr>
              <w:t>£960-00</w:t>
            </w:r>
          </w:p>
          <w:p w:rsidR="0093248E" w:rsidRDefault="0093248E" w:rsidP="00103C0A">
            <w:pPr>
              <w:rPr>
                <w:b/>
                <w:sz w:val="16"/>
                <w:szCs w:val="16"/>
              </w:rPr>
            </w:pPr>
            <w:r>
              <w:rPr>
                <w:b/>
                <w:sz w:val="16"/>
                <w:szCs w:val="16"/>
              </w:rPr>
              <w:t>18/19 breakdown:</w:t>
            </w:r>
          </w:p>
          <w:p w:rsidR="0093248E" w:rsidRPr="00CB1CED" w:rsidRDefault="0093248E" w:rsidP="00103C0A">
            <w:pPr>
              <w:rPr>
                <w:sz w:val="16"/>
                <w:szCs w:val="16"/>
              </w:rPr>
            </w:pPr>
            <w:r>
              <w:rPr>
                <w:b/>
                <w:sz w:val="16"/>
                <w:szCs w:val="16"/>
              </w:rPr>
              <w:t>As above + 2%</w:t>
            </w:r>
          </w:p>
        </w:tc>
      </w:tr>
      <w:tr w:rsidR="0093248E" w:rsidTr="0093248E">
        <w:tc>
          <w:tcPr>
            <w:tcW w:w="5770" w:type="dxa"/>
            <w:gridSpan w:val="5"/>
            <w:shd w:val="clear" w:color="auto" w:fill="F7CAAC" w:themeFill="accent2" w:themeFillTint="66"/>
          </w:tcPr>
          <w:p w:rsidR="0093248E" w:rsidRPr="0093248E" w:rsidRDefault="0093248E" w:rsidP="00103C0A">
            <w:pPr>
              <w:rPr>
                <w:b/>
                <w:sz w:val="18"/>
                <w:szCs w:val="18"/>
              </w:rPr>
            </w:pPr>
            <w:proofErr w:type="spellStart"/>
            <w:r w:rsidRPr="0093248E">
              <w:rPr>
                <w:b/>
                <w:sz w:val="18"/>
                <w:szCs w:val="18"/>
              </w:rPr>
              <w:t>Ttl</w:t>
            </w:r>
            <w:proofErr w:type="spellEnd"/>
            <w:r w:rsidRPr="0093248E">
              <w:rPr>
                <w:b/>
                <w:sz w:val="18"/>
                <w:szCs w:val="18"/>
              </w:rPr>
              <w:t xml:space="preserve"> annual cost of current youth sessions part funded by PAS 5011</w:t>
            </w:r>
          </w:p>
        </w:tc>
        <w:tc>
          <w:tcPr>
            <w:tcW w:w="1392" w:type="dxa"/>
            <w:shd w:val="clear" w:color="auto" w:fill="F7CAAC" w:themeFill="accent2" w:themeFillTint="66"/>
          </w:tcPr>
          <w:p w:rsidR="0093248E" w:rsidRPr="00A966B8" w:rsidRDefault="0093248E" w:rsidP="00103C0A">
            <w:pPr>
              <w:jc w:val="right"/>
              <w:rPr>
                <w:b/>
                <w:sz w:val="20"/>
                <w:szCs w:val="20"/>
                <w:u w:val="single"/>
              </w:rPr>
            </w:pPr>
            <w:r w:rsidRPr="00A966B8">
              <w:rPr>
                <w:b/>
                <w:sz w:val="20"/>
                <w:szCs w:val="20"/>
                <w:u w:val="single"/>
              </w:rPr>
              <w:t xml:space="preserve"> £12,037-31</w:t>
            </w:r>
          </w:p>
        </w:tc>
        <w:tc>
          <w:tcPr>
            <w:tcW w:w="1259" w:type="dxa"/>
            <w:shd w:val="clear" w:color="auto" w:fill="F7CAAC" w:themeFill="accent2" w:themeFillTint="66"/>
          </w:tcPr>
          <w:p w:rsidR="0093248E" w:rsidRPr="00A966B8" w:rsidRDefault="0093248E" w:rsidP="00103C0A">
            <w:pPr>
              <w:jc w:val="right"/>
              <w:rPr>
                <w:sz w:val="20"/>
                <w:szCs w:val="20"/>
                <w:u w:val="single"/>
              </w:rPr>
            </w:pPr>
            <w:r w:rsidRPr="00A966B8">
              <w:rPr>
                <w:b/>
                <w:sz w:val="20"/>
                <w:szCs w:val="20"/>
                <w:u w:val="single"/>
              </w:rPr>
              <w:t xml:space="preserve"> £12,278. 06</w:t>
            </w:r>
          </w:p>
        </w:tc>
        <w:tc>
          <w:tcPr>
            <w:tcW w:w="991" w:type="dxa"/>
          </w:tcPr>
          <w:p w:rsidR="0093248E" w:rsidRPr="00A966B8" w:rsidRDefault="0093248E" w:rsidP="00103C0A">
            <w:pPr>
              <w:jc w:val="right"/>
              <w:rPr>
                <w:b/>
                <w:sz w:val="20"/>
                <w:szCs w:val="20"/>
              </w:rPr>
            </w:pPr>
          </w:p>
        </w:tc>
        <w:tc>
          <w:tcPr>
            <w:tcW w:w="1259" w:type="dxa"/>
            <w:shd w:val="clear" w:color="auto" w:fill="E7E6E6" w:themeFill="background2"/>
          </w:tcPr>
          <w:p w:rsidR="0093248E" w:rsidRPr="00A966B8" w:rsidRDefault="0093248E" w:rsidP="00103C0A">
            <w:pPr>
              <w:jc w:val="right"/>
              <w:rPr>
                <w:b/>
                <w:sz w:val="20"/>
                <w:szCs w:val="20"/>
              </w:rPr>
            </w:pPr>
          </w:p>
        </w:tc>
        <w:tc>
          <w:tcPr>
            <w:tcW w:w="1255" w:type="dxa"/>
            <w:shd w:val="clear" w:color="auto" w:fill="E7E6E6" w:themeFill="background2"/>
          </w:tcPr>
          <w:p w:rsidR="0093248E" w:rsidRPr="00A966B8" w:rsidRDefault="0093248E" w:rsidP="00103C0A">
            <w:pPr>
              <w:rPr>
                <w:sz w:val="20"/>
                <w:szCs w:val="20"/>
              </w:rPr>
            </w:pPr>
          </w:p>
        </w:tc>
        <w:tc>
          <w:tcPr>
            <w:tcW w:w="1271" w:type="dxa"/>
            <w:shd w:val="clear" w:color="auto" w:fill="E7E6E6" w:themeFill="background2"/>
          </w:tcPr>
          <w:p w:rsidR="0093248E" w:rsidRPr="00A966B8" w:rsidRDefault="0093248E" w:rsidP="00103C0A">
            <w:pPr>
              <w:rPr>
                <w:sz w:val="20"/>
                <w:szCs w:val="20"/>
              </w:rPr>
            </w:pPr>
          </w:p>
        </w:tc>
        <w:tc>
          <w:tcPr>
            <w:tcW w:w="2193" w:type="dxa"/>
          </w:tcPr>
          <w:p w:rsidR="0093248E" w:rsidRDefault="0093248E" w:rsidP="00103C0A"/>
        </w:tc>
      </w:tr>
      <w:tr w:rsidR="0093248E" w:rsidTr="0093248E">
        <w:tc>
          <w:tcPr>
            <w:tcW w:w="806" w:type="dxa"/>
            <w:shd w:val="clear" w:color="auto" w:fill="E7E6E6" w:themeFill="background2"/>
          </w:tcPr>
          <w:p w:rsidR="0093248E" w:rsidRPr="00BB483E" w:rsidRDefault="0093248E" w:rsidP="00103C0A">
            <w:pPr>
              <w:rPr>
                <w:sz w:val="18"/>
                <w:szCs w:val="18"/>
              </w:rPr>
            </w:pPr>
            <w:r w:rsidRPr="00BB483E">
              <w:rPr>
                <w:sz w:val="18"/>
                <w:szCs w:val="18"/>
              </w:rPr>
              <w:t>5500</w:t>
            </w:r>
          </w:p>
        </w:tc>
        <w:tc>
          <w:tcPr>
            <w:tcW w:w="1228" w:type="dxa"/>
            <w:shd w:val="clear" w:color="auto" w:fill="E7E6E6" w:themeFill="background2"/>
          </w:tcPr>
          <w:p w:rsidR="0093248E" w:rsidRPr="00BB483E" w:rsidRDefault="0093248E" w:rsidP="00103C0A">
            <w:pPr>
              <w:rPr>
                <w:sz w:val="18"/>
                <w:szCs w:val="18"/>
              </w:rPr>
            </w:pPr>
            <w:r w:rsidRPr="00BB483E">
              <w:rPr>
                <w:sz w:val="18"/>
                <w:szCs w:val="18"/>
              </w:rPr>
              <w:t>BSTC Core funding contribution (for 5511 projects)</w:t>
            </w:r>
          </w:p>
        </w:tc>
        <w:tc>
          <w:tcPr>
            <w:tcW w:w="1073" w:type="dxa"/>
            <w:shd w:val="clear" w:color="auto" w:fill="E7E6E6" w:themeFill="background2"/>
          </w:tcPr>
          <w:p w:rsidR="0093248E" w:rsidRDefault="0093248E" w:rsidP="00103C0A"/>
        </w:tc>
        <w:tc>
          <w:tcPr>
            <w:tcW w:w="1123" w:type="dxa"/>
            <w:shd w:val="clear" w:color="auto" w:fill="E7E6E6" w:themeFill="background2"/>
          </w:tcPr>
          <w:p w:rsidR="0093248E" w:rsidRDefault="0093248E" w:rsidP="00103C0A"/>
        </w:tc>
        <w:tc>
          <w:tcPr>
            <w:tcW w:w="1540" w:type="dxa"/>
            <w:shd w:val="clear" w:color="auto" w:fill="E7E6E6" w:themeFill="background2"/>
          </w:tcPr>
          <w:p w:rsidR="0093248E" w:rsidRPr="0093248E" w:rsidRDefault="0093248E" w:rsidP="00103C0A">
            <w:pPr>
              <w:rPr>
                <w:sz w:val="16"/>
                <w:szCs w:val="16"/>
              </w:rPr>
            </w:pPr>
            <w:r w:rsidRPr="0093248E">
              <w:rPr>
                <w:sz w:val="16"/>
                <w:szCs w:val="16"/>
              </w:rPr>
              <w:t>Current Projects part funded by PAS 5511:</w:t>
            </w:r>
          </w:p>
          <w:p w:rsidR="0093248E" w:rsidRPr="0093248E" w:rsidRDefault="0093248E" w:rsidP="00103C0A">
            <w:pPr>
              <w:rPr>
                <w:b/>
                <w:sz w:val="16"/>
                <w:szCs w:val="16"/>
              </w:rPr>
            </w:pPr>
            <w:r w:rsidRPr="0093248E">
              <w:rPr>
                <w:b/>
                <w:sz w:val="16"/>
                <w:szCs w:val="16"/>
              </w:rPr>
              <w:t>Girls Project.</w:t>
            </w:r>
          </w:p>
          <w:p w:rsidR="0093248E" w:rsidRPr="0093248E" w:rsidRDefault="0093248E" w:rsidP="00103C0A">
            <w:pPr>
              <w:rPr>
                <w:b/>
                <w:sz w:val="16"/>
                <w:szCs w:val="16"/>
              </w:rPr>
            </w:pPr>
            <w:r w:rsidRPr="0093248E">
              <w:rPr>
                <w:b/>
                <w:sz w:val="16"/>
                <w:szCs w:val="16"/>
              </w:rPr>
              <w:t>SP session.</w:t>
            </w:r>
          </w:p>
          <w:p w:rsidR="0093248E" w:rsidRPr="0093248E" w:rsidRDefault="0093248E" w:rsidP="00103C0A">
            <w:pPr>
              <w:rPr>
                <w:b/>
                <w:sz w:val="16"/>
                <w:szCs w:val="16"/>
              </w:rPr>
            </w:pPr>
            <w:r w:rsidRPr="0093248E">
              <w:rPr>
                <w:b/>
                <w:sz w:val="16"/>
                <w:szCs w:val="16"/>
              </w:rPr>
              <w:t>Jubilee session.</w:t>
            </w:r>
          </w:p>
        </w:tc>
        <w:tc>
          <w:tcPr>
            <w:tcW w:w="1392" w:type="dxa"/>
            <w:shd w:val="clear" w:color="auto" w:fill="E7E6E6" w:themeFill="background2"/>
          </w:tcPr>
          <w:p w:rsidR="0093248E" w:rsidRPr="00A966B8" w:rsidRDefault="0093248E" w:rsidP="00103C0A">
            <w:pPr>
              <w:rPr>
                <w:sz w:val="20"/>
                <w:szCs w:val="20"/>
              </w:rPr>
            </w:pPr>
          </w:p>
        </w:tc>
        <w:tc>
          <w:tcPr>
            <w:tcW w:w="1259" w:type="dxa"/>
            <w:shd w:val="clear" w:color="auto" w:fill="E7E6E6" w:themeFill="background2"/>
          </w:tcPr>
          <w:p w:rsidR="0093248E" w:rsidRPr="00A966B8" w:rsidRDefault="0093248E" w:rsidP="00103C0A">
            <w:pPr>
              <w:rPr>
                <w:sz w:val="20"/>
                <w:szCs w:val="20"/>
              </w:rPr>
            </w:pPr>
          </w:p>
        </w:tc>
        <w:tc>
          <w:tcPr>
            <w:tcW w:w="991" w:type="dxa"/>
            <w:shd w:val="clear" w:color="auto" w:fill="E7E6E6" w:themeFill="background2"/>
          </w:tcPr>
          <w:p w:rsidR="0093248E" w:rsidRPr="00A966B8" w:rsidRDefault="0093248E" w:rsidP="00103C0A">
            <w:pPr>
              <w:jc w:val="right"/>
              <w:rPr>
                <w:b/>
                <w:sz w:val="20"/>
                <w:szCs w:val="20"/>
              </w:rPr>
            </w:pPr>
          </w:p>
        </w:tc>
        <w:tc>
          <w:tcPr>
            <w:tcW w:w="1259" w:type="dxa"/>
            <w:shd w:val="clear" w:color="auto" w:fill="E7E6E6" w:themeFill="background2"/>
          </w:tcPr>
          <w:p w:rsidR="0093248E" w:rsidRPr="00A966B8" w:rsidRDefault="0093248E" w:rsidP="00103C0A">
            <w:pPr>
              <w:jc w:val="right"/>
              <w:rPr>
                <w:b/>
                <w:sz w:val="20"/>
                <w:szCs w:val="20"/>
              </w:rPr>
            </w:pPr>
          </w:p>
          <w:p w:rsidR="0093248E" w:rsidRPr="00A966B8" w:rsidRDefault="0093248E" w:rsidP="00103C0A">
            <w:pPr>
              <w:jc w:val="center"/>
              <w:rPr>
                <w:b/>
                <w:sz w:val="20"/>
                <w:szCs w:val="20"/>
              </w:rPr>
            </w:pPr>
            <w:r w:rsidRPr="00A966B8">
              <w:rPr>
                <w:b/>
                <w:sz w:val="20"/>
                <w:szCs w:val="20"/>
              </w:rPr>
              <w:t>£4,037-31</w:t>
            </w:r>
          </w:p>
        </w:tc>
        <w:tc>
          <w:tcPr>
            <w:tcW w:w="1255" w:type="dxa"/>
            <w:shd w:val="clear" w:color="auto" w:fill="E7E6E6" w:themeFill="background2"/>
          </w:tcPr>
          <w:p w:rsidR="0093248E" w:rsidRPr="00A966B8" w:rsidRDefault="0093248E" w:rsidP="00103C0A">
            <w:pPr>
              <w:jc w:val="right"/>
              <w:rPr>
                <w:b/>
                <w:sz w:val="20"/>
                <w:szCs w:val="20"/>
              </w:rPr>
            </w:pPr>
          </w:p>
          <w:p w:rsidR="0093248E" w:rsidRPr="00A966B8" w:rsidRDefault="0093248E" w:rsidP="00103C0A">
            <w:pPr>
              <w:jc w:val="right"/>
              <w:rPr>
                <w:b/>
                <w:sz w:val="20"/>
                <w:szCs w:val="20"/>
              </w:rPr>
            </w:pPr>
          </w:p>
          <w:p w:rsidR="0093248E" w:rsidRPr="00A966B8" w:rsidRDefault="0093248E" w:rsidP="00103C0A">
            <w:pPr>
              <w:jc w:val="right"/>
              <w:rPr>
                <w:b/>
                <w:sz w:val="20"/>
                <w:szCs w:val="20"/>
              </w:rPr>
            </w:pPr>
            <w:r w:rsidRPr="00A966B8">
              <w:rPr>
                <w:b/>
                <w:sz w:val="20"/>
                <w:szCs w:val="20"/>
              </w:rPr>
              <w:t>£6,208-76</w:t>
            </w:r>
          </w:p>
        </w:tc>
        <w:tc>
          <w:tcPr>
            <w:tcW w:w="1271" w:type="dxa"/>
            <w:shd w:val="clear" w:color="auto" w:fill="E7E6E6" w:themeFill="background2"/>
          </w:tcPr>
          <w:p w:rsidR="0093248E" w:rsidRPr="00A966B8" w:rsidRDefault="0093248E" w:rsidP="00103C0A">
            <w:pPr>
              <w:jc w:val="right"/>
              <w:rPr>
                <w:sz w:val="20"/>
                <w:szCs w:val="20"/>
              </w:rPr>
            </w:pPr>
          </w:p>
          <w:p w:rsidR="0093248E" w:rsidRPr="00A966B8" w:rsidRDefault="0093248E" w:rsidP="00103C0A">
            <w:pPr>
              <w:jc w:val="right"/>
              <w:rPr>
                <w:sz w:val="20"/>
                <w:szCs w:val="20"/>
              </w:rPr>
            </w:pPr>
          </w:p>
          <w:p w:rsidR="0093248E" w:rsidRPr="00A966B8" w:rsidRDefault="0093248E" w:rsidP="00103C0A">
            <w:pPr>
              <w:jc w:val="right"/>
              <w:rPr>
                <w:b/>
                <w:sz w:val="20"/>
                <w:szCs w:val="20"/>
              </w:rPr>
            </w:pPr>
          </w:p>
          <w:p w:rsidR="0093248E" w:rsidRDefault="0093248E" w:rsidP="00103C0A">
            <w:pPr>
              <w:rPr>
                <w:b/>
                <w:sz w:val="20"/>
                <w:szCs w:val="20"/>
              </w:rPr>
            </w:pPr>
          </w:p>
          <w:p w:rsidR="0093248E" w:rsidRPr="00BB483E" w:rsidRDefault="0093248E" w:rsidP="00103C0A">
            <w:pPr>
              <w:rPr>
                <w:b/>
                <w:sz w:val="20"/>
                <w:szCs w:val="20"/>
              </w:rPr>
            </w:pPr>
            <w:r w:rsidRPr="00A966B8">
              <w:rPr>
                <w:b/>
                <w:sz w:val="20"/>
                <w:szCs w:val="20"/>
              </w:rPr>
              <w:t>£12,523.62</w:t>
            </w:r>
          </w:p>
        </w:tc>
        <w:tc>
          <w:tcPr>
            <w:tcW w:w="2193" w:type="dxa"/>
            <w:shd w:val="clear" w:color="auto" w:fill="FFFFFF" w:themeFill="background1"/>
          </w:tcPr>
          <w:p w:rsidR="0093248E" w:rsidRPr="00A966B8" w:rsidRDefault="0093248E" w:rsidP="00103C0A">
            <w:pPr>
              <w:rPr>
                <w:sz w:val="16"/>
                <w:szCs w:val="16"/>
              </w:rPr>
            </w:pPr>
            <w:r w:rsidRPr="00A966B8">
              <w:rPr>
                <w:b/>
                <w:sz w:val="16"/>
                <w:szCs w:val="16"/>
              </w:rPr>
              <w:t>17/18</w:t>
            </w:r>
            <w:r w:rsidRPr="00A966B8">
              <w:rPr>
                <w:sz w:val="16"/>
                <w:szCs w:val="16"/>
              </w:rPr>
              <w:t xml:space="preserve"> to top up £8k PAS funding.</w:t>
            </w:r>
          </w:p>
          <w:p w:rsidR="0093248E" w:rsidRPr="00A966B8" w:rsidRDefault="0093248E" w:rsidP="00103C0A">
            <w:pPr>
              <w:rPr>
                <w:sz w:val="16"/>
                <w:szCs w:val="16"/>
              </w:rPr>
            </w:pPr>
            <w:r w:rsidRPr="00A966B8">
              <w:rPr>
                <w:b/>
                <w:sz w:val="16"/>
                <w:szCs w:val="16"/>
              </w:rPr>
              <w:t>18/19</w:t>
            </w:r>
            <w:r w:rsidRPr="00A966B8">
              <w:rPr>
                <w:sz w:val="16"/>
                <w:szCs w:val="16"/>
              </w:rPr>
              <w:t xml:space="preserve"> to top up £6k PAS funding.</w:t>
            </w:r>
          </w:p>
          <w:p w:rsidR="0093248E" w:rsidRPr="00A966B8" w:rsidRDefault="0093248E" w:rsidP="00103C0A">
            <w:pPr>
              <w:rPr>
                <w:sz w:val="16"/>
                <w:szCs w:val="16"/>
              </w:rPr>
            </w:pPr>
            <w:r w:rsidRPr="00A966B8">
              <w:rPr>
                <w:b/>
                <w:sz w:val="16"/>
                <w:szCs w:val="16"/>
              </w:rPr>
              <w:t>19/20</w:t>
            </w:r>
            <w:r w:rsidRPr="00A966B8">
              <w:rPr>
                <w:sz w:val="16"/>
                <w:szCs w:val="16"/>
              </w:rPr>
              <w:t xml:space="preserve"> </w:t>
            </w:r>
            <w:r>
              <w:rPr>
                <w:sz w:val="16"/>
                <w:szCs w:val="16"/>
              </w:rPr>
              <w:t xml:space="preserve">full cost; </w:t>
            </w:r>
            <w:r w:rsidRPr="00A966B8">
              <w:rPr>
                <w:sz w:val="16"/>
                <w:szCs w:val="16"/>
              </w:rPr>
              <w:t>former PAS funded projects + 2%</w:t>
            </w:r>
          </w:p>
        </w:tc>
      </w:tr>
      <w:tr w:rsidR="0093248E" w:rsidTr="0093248E">
        <w:tc>
          <w:tcPr>
            <w:tcW w:w="806" w:type="dxa"/>
            <w:shd w:val="clear" w:color="auto" w:fill="E7E6E6" w:themeFill="background2"/>
          </w:tcPr>
          <w:p w:rsidR="0093248E" w:rsidRPr="00BB483E" w:rsidRDefault="0093248E" w:rsidP="00103C0A">
            <w:pPr>
              <w:rPr>
                <w:sz w:val="18"/>
                <w:szCs w:val="18"/>
              </w:rPr>
            </w:pPr>
            <w:r w:rsidRPr="00BB483E">
              <w:rPr>
                <w:sz w:val="18"/>
                <w:szCs w:val="18"/>
              </w:rPr>
              <w:t>5500</w:t>
            </w:r>
          </w:p>
        </w:tc>
        <w:tc>
          <w:tcPr>
            <w:tcW w:w="1228" w:type="dxa"/>
            <w:shd w:val="clear" w:color="auto" w:fill="E7E6E6" w:themeFill="background2"/>
          </w:tcPr>
          <w:p w:rsidR="0093248E" w:rsidRPr="00BB483E" w:rsidRDefault="0093248E" w:rsidP="00103C0A">
            <w:pPr>
              <w:rPr>
                <w:sz w:val="18"/>
                <w:szCs w:val="18"/>
              </w:rPr>
            </w:pPr>
            <w:r w:rsidRPr="00BB483E">
              <w:rPr>
                <w:sz w:val="18"/>
                <w:szCs w:val="18"/>
              </w:rPr>
              <w:t>BSTC Core funding</w:t>
            </w:r>
          </w:p>
        </w:tc>
        <w:tc>
          <w:tcPr>
            <w:tcW w:w="1073" w:type="dxa"/>
            <w:shd w:val="clear" w:color="auto" w:fill="E7E6E6" w:themeFill="background2"/>
          </w:tcPr>
          <w:p w:rsidR="0093248E" w:rsidRDefault="0093248E" w:rsidP="00103C0A"/>
        </w:tc>
        <w:tc>
          <w:tcPr>
            <w:tcW w:w="1123" w:type="dxa"/>
            <w:shd w:val="clear" w:color="auto" w:fill="E7E6E6" w:themeFill="background2"/>
          </w:tcPr>
          <w:p w:rsidR="0093248E" w:rsidRDefault="0093248E" w:rsidP="00103C0A"/>
        </w:tc>
        <w:tc>
          <w:tcPr>
            <w:tcW w:w="1540" w:type="dxa"/>
            <w:shd w:val="clear" w:color="auto" w:fill="E7E6E6" w:themeFill="background2"/>
          </w:tcPr>
          <w:p w:rsidR="0093248E" w:rsidRPr="0093248E" w:rsidRDefault="0093248E" w:rsidP="00103C0A">
            <w:pPr>
              <w:rPr>
                <w:sz w:val="16"/>
                <w:szCs w:val="16"/>
              </w:rPr>
            </w:pPr>
            <w:r w:rsidRPr="0093248E">
              <w:rPr>
                <w:b/>
                <w:sz w:val="16"/>
                <w:szCs w:val="16"/>
              </w:rPr>
              <w:t>Youth building staff:</w:t>
            </w:r>
            <w:r w:rsidRPr="0093248E">
              <w:rPr>
                <w:sz w:val="16"/>
                <w:szCs w:val="16"/>
              </w:rPr>
              <w:t xml:space="preserve"> 3 x YW to open youth building at SP for 2/3 x sessions.</w:t>
            </w:r>
          </w:p>
        </w:tc>
        <w:tc>
          <w:tcPr>
            <w:tcW w:w="1392" w:type="dxa"/>
            <w:shd w:val="clear" w:color="auto" w:fill="E7E6E6" w:themeFill="background2"/>
          </w:tcPr>
          <w:p w:rsidR="0093248E" w:rsidRPr="00A966B8" w:rsidRDefault="0093248E" w:rsidP="00103C0A">
            <w:pPr>
              <w:rPr>
                <w:sz w:val="20"/>
                <w:szCs w:val="20"/>
              </w:rPr>
            </w:pPr>
          </w:p>
        </w:tc>
        <w:tc>
          <w:tcPr>
            <w:tcW w:w="1259" w:type="dxa"/>
            <w:shd w:val="clear" w:color="auto" w:fill="E7E6E6" w:themeFill="background2"/>
          </w:tcPr>
          <w:p w:rsidR="0093248E" w:rsidRPr="00A966B8" w:rsidRDefault="0093248E" w:rsidP="00103C0A">
            <w:pPr>
              <w:rPr>
                <w:sz w:val="20"/>
                <w:szCs w:val="20"/>
              </w:rPr>
            </w:pPr>
          </w:p>
        </w:tc>
        <w:tc>
          <w:tcPr>
            <w:tcW w:w="991" w:type="dxa"/>
            <w:shd w:val="clear" w:color="auto" w:fill="E7E6E6" w:themeFill="background2"/>
          </w:tcPr>
          <w:p w:rsidR="0093248E" w:rsidRPr="00A966B8" w:rsidRDefault="0093248E" w:rsidP="00103C0A">
            <w:pPr>
              <w:rPr>
                <w:sz w:val="20"/>
                <w:szCs w:val="20"/>
              </w:rPr>
            </w:pPr>
          </w:p>
        </w:tc>
        <w:tc>
          <w:tcPr>
            <w:tcW w:w="1259" w:type="dxa"/>
            <w:shd w:val="clear" w:color="auto" w:fill="E7E6E6" w:themeFill="background2"/>
          </w:tcPr>
          <w:p w:rsidR="0093248E" w:rsidRPr="00BB483E" w:rsidRDefault="0093248E" w:rsidP="00103C0A">
            <w:pPr>
              <w:rPr>
                <w:b/>
                <w:sz w:val="20"/>
                <w:szCs w:val="20"/>
                <w:u w:val="single"/>
              </w:rPr>
            </w:pPr>
            <w:r w:rsidRPr="00BB483E">
              <w:rPr>
                <w:b/>
                <w:sz w:val="20"/>
                <w:szCs w:val="20"/>
                <w:u w:val="single"/>
              </w:rPr>
              <w:t>£10,215-07</w:t>
            </w:r>
          </w:p>
          <w:p w:rsidR="0093248E" w:rsidRDefault="0093248E" w:rsidP="00103C0A">
            <w:pPr>
              <w:jc w:val="center"/>
              <w:rPr>
                <w:b/>
                <w:sz w:val="20"/>
                <w:szCs w:val="20"/>
              </w:rPr>
            </w:pPr>
            <w:r>
              <w:rPr>
                <w:b/>
                <w:sz w:val="20"/>
                <w:szCs w:val="20"/>
              </w:rPr>
              <w:t>(six months)</w:t>
            </w:r>
          </w:p>
          <w:p w:rsidR="0093248E" w:rsidRPr="00BB483E" w:rsidRDefault="0093248E" w:rsidP="00103C0A">
            <w:pPr>
              <w:jc w:val="center"/>
              <w:rPr>
                <w:sz w:val="20"/>
                <w:szCs w:val="20"/>
              </w:rPr>
            </w:pPr>
            <w:r w:rsidRPr="00BB483E">
              <w:rPr>
                <w:sz w:val="20"/>
                <w:szCs w:val="20"/>
              </w:rPr>
              <w:t>£20,430-13</w:t>
            </w:r>
          </w:p>
          <w:p w:rsidR="0093248E" w:rsidRPr="00A966B8" w:rsidRDefault="0093248E" w:rsidP="00103C0A">
            <w:pPr>
              <w:jc w:val="center"/>
              <w:rPr>
                <w:b/>
                <w:sz w:val="20"/>
                <w:szCs w:val="20"/>
              </w:rPr>
            </w:pPr>
            <w:r w:rsidRPr="00BB483E">
              <w:rPr>
                <w:sz w:val="20"/>
                <w:szCs w:val="20"/>
              </w:rPr>
              <w:t>(full year)</w:t>
            </w:r>
          </w:p>
        </w:tc>
        <w:tc>
          <w:tcPr>
            <w:tcW w:w="1255" w:type="dxa"/>
            <w:shd w:val="clear" w:color="auto" w:fill="E7E6E6" w:themeFill="background2"/>
          </w:tcPr>
          <w:p w:rsidR="0093248E" w:rsidRPr="00A966B8" w:rsidRDefault="0093248E" w:rsidP="00103C0A">
            <w:pPr>
              <w:jc w:val="right"/>
              <w:rPr>
                <w:sz w:val="20"/>
                <w:szCs w:val="20"/>
              </w:rPr>
            </w:pPr>
          </w:p>
          <w:p w:rsidR="0093248E" w:rsidRPr="00A966B8" w:rsidRDefault="0093248E" w:rsidP="00103C0A">
            <w:pPr>
              <w:jc w:val="right"/>
              <w:rPr>
                <w:sz w:val="20"/>
                <w:szCs w:val="20"/>
              </w:rPr>
            </w:pPr>
          </w:p>
          <w:p w:rsidR="0093248E" w:rsidRPr="00A966B8" w:rsidRDefault="0093248E" w:rsidP="00103C0A">
            <w:pPr>
              <w:jc w:val="right"/>
              <w:rPr>
                <w:b/>
                <w:sz w:val="20"/>
                <w:szCs w:val="20"/>
              </w:rPr>
            </w:pPr>
            <w:r w:rsidRPr="00A966B8">
              <w:rPr>
                <w:b/>
                <w:sz w:val="20"/>
                <w:szCs w:val="20"/>
              </w:rPr>
              <w:t>£</w:t>
            </w:r>
            <w:r>
              <w:rPr>
                <w:b/>
                <w:sz w:val="20"/>
                <w:szCs w:val="20"/>
              </w:rPr>
              <w:t>20,838-73</w:t>
            </w:r>
          </w:p>
        </w:tc>
        <w:tc>
          <w:tcPr>
            <w:tcW w:w="1271" w:type="dxa"/>
            <w:shd w:val="clear" w:color="auto" w:fill="E7E6E6" w:themeFill="background2"/>
          </w:tcPr>
          <w:p w:rsidR="0093248E" w:rsidRPr="00A966B8" w:rsidRDefault="0093248E" w:rsidP="0093248E">
            <w:pPr>
              <w:rPr>
                <w:b/>
                <w:sz w:val="20"/>
                <w:szCs w:val="20"/>
              </w:rPr>
            </w:pPr>
          </w:p>
          <w:p w:rsidR="0093248E" w:rsidRPr="00A966B8" w:rsidRDefault="0093248E" w:rsidP="0093248E">
            <w:pPr>
              <w:rPr>
                <w:b/>
                <w:sz w:val="20"/>
                <w:szCs w:val="20"/>
              </w:rPr>
            </w:pPr>
          </w:p>
          <w:p w:rsidR="0093248E" w:rsidRPr="00A966B8" w:rsidRDefault="0093248E" w:rsidP="0093248E">
            <w:pPr>
              <w:rPr>
                <w:b/>
                <w:sz w:val="20"/>
                <w:szCs w:val="20"/>
              </w:rPr>
            </w:pPr>
          </w:p>
          <w:p w:rsidR="0093248E" w:rsidRPr="00A966B8" w:rsidRDefault="0093248E" w:rsidP="0093248E">
            <w:pPr>
              <w:rPr>
                <w:b/>
                <w:sz w:val="20"/>
                <w:szCs w:val="20"/>
              </w:rPr>
            </w:pPr>
            <w:r w:rsidRPr="00A966B8">
              <w:rPr>
                <w:b/>
                <w:sz w:val="20"/>
                <w:szCs w:val="20"/>
              </w:rPr>
              <w:t>£</w:t>
            </w:r>
            <w:r>
              <w:rPr>
                <w:b/>
                <w:sz w:val="20"/>
                <w:szCs w:val="20"/>
              </w:rPr>
              <w:t>21,255-50</w:t>
            </w:r>
          </w:p>
        </w:tc>
        <w:tc>
          <w:tcPr>
            <w:tcW w:w="2193" w:type="dxa"/>
            <w:shd w:val="clear" w:color="auto" w:fill="FFFFFF" w:themeFill="background1"/>
          </w:tcPr>
          <w:p w:rsidR="0093248E" w:rsidRPr="00A966B8" w:rsidRDefault="0093248E" w:rsidP="00103C0A">
            <w:pPr>
              <w:rPr>
                <w:sz w:val="16"/>
                <w:szCs w:val="16"/>
              </w:rPr>
            </w:pPr>
            <w:r w:rsidRPr="00A966B8">
              <w:rPr>
                <w:b/>
                <w:sz w:val="16"/>
                <w:szCs w:val="16"/>
              </w:rPr>
              <w:t>17/18</w:t>
            </w:r>
            <w:r w:rsidRPr="00A966B8">
              <w:rPr>
                <w:sz w:val="16"/>
                <w:szCs w:val="16"/>
              </w:rPr>
              <w:t xml:space="preserve"> 2 x YW each working 8hrs per week @ £12.89ph = £10,725 + 27% employer costs = £13,620</w:t>
            </w:r>
          </w:p>
          <w:p w:rsidR="0093248E" w:rsidRPr="00A966B8" w:rsidRDefault="0093248E" w:rsidP="00103C0A">
            <w:pPr>
              <w:rPr>
                <w:sz w:val="16"/>
                <w:szCs w:val="16"/>
              </w:rPr>
            </w:pPr>
            <w:r w:rsidRPr="00A966B8">
              <w:rPr>
                <w:b/>
                <w:sz w:val="16"/>
                <w:szCs w:val="16"/>
              </w:rPr>
              <w:t>18/19</w:t>
            </w:r>
            <w:r w:rsidRPr="00A966B8">
              <w:rPr>
                <w:sz w:val="16"/>
                <w:szCs w:val="16"/>
              </w:rPr>
              <w:t xml:space="preserve"> as above + 2%</w:t>
            </w:r>
          </w:p>
          <w:p w:rsidR="0093248E" w:rsidRPr="00A966B8" w:rsidRDefault="0093248E" w:rsidP="00103C0A">
            <w:pPr>
              <w:rPr>
                <w:sz w:val="16"/>
                <w:szCs w:val="16"/>
              </w:rPr>
            </w:pPr>
            <w:r w:rsidRPr="00A966B8">
              <w:rPr>
                <w:b/>
                <w:sz w:val="16"/>
                <w:szCs w:val="16"/>
              </w:rPr>
              <w:t>19/20</w:t>
            </w:r>
            <w:r w:rsidRPr="00A966B8">
              <w:rPr>
                <w:sz w:val="16"/>
                <w:szCs w:val="16"/>
              </w:rPr>
              <w:t xml:space="preserve"> as above + 2%</w:t>
            </w:r>
          </w:p>
        </w:tc>
      </w:tr>
      <w:tr w:rsidR="0093248E" w:rsidTr="0093248E">
        <w:tc>
          <w:tcPr>
            <w:tcW w:w="806" w:type="dxa"/>
            <w:shd w:val="clear" w:color="auto" w:fill="E7E6E6" w:themeFill="background2"/>
          </w:tcPr>
          <w:p w:rsidR="0093248E" w:rsidRPr="00BB483E" w:rsidRDefault="0093248E" w:rsidP="00103C0A">
            <w:pPr>
              <w:rPr>
                <w:sz w:val="18"/>
                <w:szCs w:val="18"/>
              </w:rPr>
            </w:pPr>
            <w:r w:rsidRPr="00BB483E">
              <w:rPr>
                <w:sz w:val="18"/>
                <w:szCs w:val="18"/>
              </w:rPr>
              <w:t>5500</w:t>
            </w:r>
          </w:p>
        </w:tc>
        <w:tc>
          <w:tcPr>
            <w:tcW w:w="1228" w:type="dxa"/>
            <w:shd w:val="clear" w:color="auto" w:fill="E7E6E6" w:themeFill="background2"/>
          </w:tcPr>
          <w:p w:rsidR="0093248E" w:rsidRPr="00BB483E" w:rsidRDefault="0093248E" w:rsidP="00103C0A">
            <w:pPr>
              <w:rPr>
                <w:sz w:val="18"/>
                <w:szCs w:val="18"/>
              </w:rPr>
            </w:pPr>
            <w:r w:rsidRPr="00BB483E">
              <w:rPr>
                <w:sz w:val="18"/>
                <w:szCs w:val="18"/>
              </w:rPr>
              <w:t>BSTC Core funding</w:t>
            </w:r>
          </w:p>
        </w:tc>
        <w:tc>
          <w:tcPr>
            <w:tcW w:w="1073" w:type="dxa"/>
            <w:shd w:val="clear" w:color="auto" w:fill="E7E6E6" w:themeFill="background2"/>
          </w:tcPr>
          <w:p w:rsidR="0093248E" w:rsidRDefault="0093248E" w:rsidP="00103C0A"/>
        </w:tc>
        <w:tc>
          <w:tcPr>
            <w:tcW w:w="1123" w:type="dxa"/>
            <w:shd w:val="clear" w:color="auto" w:fill="E7E6E6" w:themeFill="background2"/>
          </w:tcPr>
          <w:p w:rsidR="0093248E" w:rsidRDefault="0093248E" w:rsidP="00103C0A"/>
        </w:tc>
        <w:tc>
          <w:tcPr>
            <w:tcW w:w="1540" w:type="dxa"/>
            <w:shd w:val="clear" w:color="auto" w:fill="E7E6E6" w:themeFill="background2"/>
          </w:tcPr>
          <w:p w:rsidR="0093248E" w:rsidRPr="0093248E" w:rsidRDefault="0093248E" w:rsidP="00103C0A">
            <w:pPr>
              <w:rPr>
                <w:b/>
                <w:sz w:val="16"/>
                <w:szCs w:val="16"/>
              </w:rPr>
            </w:pPr>
            <w:r w:rsidRPr="0093248E">
              <w:rPr>
                <w:b/>
                <w:sz w:val="16"/>
                <w:szCs w:val="16"/>
              </w:rPr>
              <w:t xml:space="preserve">Detached/ project youth staff: </w:t>
            </w:r>
            <w:r w:rsidRPr="0093248E">
              <w:rPr>
                <w:sz w:val="16"/>
                <w:szCs w:val="16"/>
              </w:rPr>
              <w:t xml:space="preserve">2 x YW to deliver 2 sessions. </w:t>
            </w:r>
          </w:p>
        </w:tc>
        <w:tc>
          <w:tcPr>
            <w:tcW w:w="1392" w:type="dxa"/>
            <w:shd w:val="clear" w:color="auto" w:fill="E7E6E6" w:themeFill="background2"/>
          </w:tcPr>
          <w:p w:rsidR="0093248E" w:rsidRDefault="0093248E" w:rsidP="00103C0A"/>
        </w:tc>
        <w:tc>
          <w:tcPr>
            <w:tcW w:w="1259" w:type="dxa"/>
            <w:shd w:val="clear" w:color="auto" w:fill="E7E6E6" w:themeFill="background2"/>
          </w:tcPr>
          <w:p w:rsidR="0093248E" w:rsidRDefault="0093248E" w:rsidP="00103C0A"/>
        </w:tc>
        <w:tc>
          <w:tcPr>
            <w:tcW w:w="991" w:type="dxa"/>
            <w:shd w:val="clear" w:color="auto" w:fill="E7E6E6" w:themeFill="background2"/>
          </w:tcPr>
          <w:p w:rsidR="0093248E" w:rsidRDefault="0093248E" w:rsidP="00103C0A"/>
        </w:tc>
        <w:tc>
          <w:tcPr>
            <w:tcW w:w="1259" w:type="dxa"/>
            <w:shd w:val="clear" w:color="auto" w:fill="E7E6E6" w:themeFill="background2"/>
          </w:tcPr>
          <w:p w:rsidR="0093248E" w:rsidRDefault="0093248E" w:rsidP="00103C0A">
            <w:pPr>
              <w:jc w:val="center"/>
              <w:rPr>
                <w:b/>
                <w:sz w:val="20"/>
                <w:szCs w:val="20"/>
                <w:u w:val="single"/>
              </w:rPr>
            </w:pPr>
            <w:r w:rsidRPr="00BB483E">
              <w:rPr>
                <w:b/>
                <w:sz w:val="20"/>
                <w:szCs w:val="20"/>
                <w:u w:val="single"/>
              </w:rPr>
              <w:t>£6,810-00</w:t>
            </w:r>
          </w:p>
          <w:p w:rsidR="0093248E" w:rsidRDefault="0093248E" w:rsidP="00103C0A">
            <w:pPr>
              <w:jc w:val="center"/>
              <w:rPr>
                <w:b/>
                <w:sz w:val="20"/>
                <w:szCs w:val="20"/>
              </w:rPr>
            </w:pPr>
            <w:r>
              <w:rPr>
                <w:b/>
                <w:sz w:val="20"/>
                <w:szCs w:val="20"/>
              </w:rPr>
              <w:t>(six months)</w:t>
            </w:r>
          </w:p>
          <w:p w:rsidR="0093248E" w:rsidRPr="00BB483E" w:rsidRDefault="0093248E" w:rsidP="00103C0A">
            <w:pPr>
              <w:jc w:val="center"/>
              <w:rPr>
                <w:sz w:val="20"/>
                <w:szCs w:val="20"/>
              </w:rPr>
            </w:pPr>
            <w:r w:rsidRPr="00BB483E">
              <w:rPr>
                <w:sz w:val="20"/>
                <w:szCs w:val="20"/>
              </w:rPr>
              <w:t>£13,620-00</w:t>
            </w:r>
          </w:p>
          <w:p w:rsidR="0093248E" w:rsidRDefault="0093248E" w:rsidP="00103C0A">
            <w:pPr>
              <w:jc w:val="center"/>
            </w:pPr>
            <w:r w:rsidRPr="00BB483E">
              <w:rPr>
                <w:sz w:val="20"/>
                <w:szCs w:val="20"/>
              </w:rPr>
              <w:t>(full year)</w:t>
            </w:r>
          </w:p>
        </w:tc>
        <w:tc>
          <w:tcPr>
            <w:tcW w:w="1255" w:type="dxa"/>
            <w:shd w:val="clear" w:color="auto" w:fill="E7E6E6" w:themeFill="background2"/>
          </w:tcPr>
          <w:p w:rsidR="0093248E" w:rsidRPr="00A966B8" w:rsidRDefault="0093248E" w:rsidP="00103C0A">
            <w:pPr>
              <w:jc w:val="right"/>
              <w:rPr>
                <w:sz w:val="20"/>
                <w:szCs w:val="20"/>
              </w:rPr>
            </w:pPr>
          </w:p>
          <w:p w:rsidR="0093248E" w:rsidRPr="00A966B8" w:rsidRDefault="0093248E" w:rsidP="00103C0A">
            <w:pPr>
              <w:jc w:val="right"/>
              <w:rPr>
                <w:sz w:val="20"/>
                <w:szCs w:val="20"/>
              </w:rPr>
            </w:pPr>
          </w:p>
          <w:p w:rsidR="0093248E" w:rsidRPr="00A966B8" w:rsidRDefault="0093248E" w:rsidP="00103C0A">
            <w:pPr>
              <w:jc w:val="right"/>
              <w:rPr>
                <w:b/>
                <w:sz w:val="20"/>
                <w:szCs w:val="20"/>
              </w:rPr>
            </w:pPr>
            <w:r w:rsidRPr="00A966B8">
              <w:rPr>
                <w:b/>
                <w:sz w:val="20"/>
                <w:szCs w:val="20"/>
              </w:rPr>
              <w:t>£13,892-00</w:t>
            </w:r>
          </w:p>
        </w:tc>
        <w:tc>
          <w:tcPr>
            <w:tcW w:w="1271" w:type="dxa"/>
            <w:shd w:val="clear" w:color="auto" w:fill="E7E6E6" w:themeFill="background2"/>
          </w:tcPr>
          <w:p w:rsidR="0093248E" w:rsidRDefault="0093248E" w:rsidP="0093248E">
            <w:pPr>
              <w:rPr>
                <w:b/>
                <w:sz w:val="20"/>
                <w:szCs w:val="20"/>
              </w:rPr>
            </w:pPr>
          </w:p>
          <w:p w:rsidR="0093248E" w:rsidRDefault="0093248E" w:rsidP="0093248E">
            <w:pPr>
              <w:rPr>
                <w:b/>
                <w:sz w:val="20"/>
                <w:szCs w:val="20"/>
              </w:rPr>
            </w:pPr>
          </w:p>
          <w:p w:rsidR="0093248E" w:rsidRDefault="0093248E" w:rsidP="0093248E">
            <w:pPr>
              <w:rPr>
                <w:b/>
                <w:sz w:val="20"/>
                <w:szCs w:val="20"/>
              </w:rPr>
            </w:pPr>
          </w:p>
          <w:p w:rsidR="0093248E" w:rsidRDefault="0093248E" w:rsidP="0093248E">
            <w:r w:rsidRPr="00A966B8">
              <w:rPr>
                <w:b/>
                <w:sz w:val="20"/>
                <w:szCs w:val="20"/>
              </w:rPr>
              <w:t>£14,170-00</w:t>
            </w:r>
          </w:p>
        </w:tc>
        <w:tc>
          <w:tcPr>
            <w:tcW w:w="2193" w:type="dxa"/>
            <w:shd w:val="clear" w:color="auto" w:fill="FFFFFF" w:themeFill="background1"/>
          </w:tcPr>
          <w:p w:rsidR="0093248E" w:rsidRPr="00A966B8" w:rsidRDefault="0093248E" w:rsidP="00103C0A">
            <w:pPr>
              <w:rPr>
                <w:sz w:val="16"/>
                <w:szCs w:val="16"/>
              </w:rPr>
            </w:pPr>
            <w:r w:rsidRPr="00A966B8">
              <w:rPr>
                <w:b/>
                <w:sz w:val="16"/>
                <w:szCs w:val="16"/>
              </w:rPr>
              <w:t>17/18</w:t>
            </w:r>
            <w:r w:rsidRPr="00A966B8">
              <w:rPr>
                <w:sz w:val="16"/>
                <w:szCs w:val="16"/>
              </w:rPr>
              <w:t xml:space="preserve"> 2 x YW each working 8hrs per week @ £12.89ph = £10,725 + 27% employer costs = £13,620</w:t>
            </w:r>
          </w:p>
          <w:p w:rsidR="0093248E" w:rsidRPr="00A966B8" w:rsidRDefault="0093248E" w:rsidP="00103C0A">
            <w:pPr>
              <w:rPr>
                <w:sz w:val="16"/>
                <w:szCs w:val="16"/>
              </w:rPr>
            </w:pPr>
            <w:r w:rsidRPr="00A966B8">
              <w:rPr>
                <w:b/>
                <w:sz w:val="16"/>
                <w:szCs w:val="16"/>
              </w:rPr>
              <w:t>18/19</w:t>
            </w:r>
            <w:r w:rsidRPr="00A966B8">
              <w:rPr>
                <w:sz w:val="16"/>
                <w:szCs w:val="16"/>
              </w:rPr>
              <w:t xml:space="preserve"> as above + 2%</w:t>
            </w:r>
          </w:p>
          <w:p w:rsidR="0093248E" w:rsidRDefault="0093248E" w:rsidP="00103C0A">
            <w:r w:rsidRPr="00A966B8">
              <w:rPr>
                <w:b/>
                <w:sz w:val="16"/>
                <w:szCs w:val="16"/>
              </w:rPr>
              <w:t>19/20</w:t>
            </w:r>
            <w:r w:rsidRPr="00A966B8">
              <w:rPr>
                <w:sz w:val="16"/>
                <w:szCs w:val="16"/>
              </w:rPr>
              <w:t xml:space="preserve"> as above + 2%</w:t>
            </w:r>
          </w:p>
        </w:tc>
      </w:tr>
      <w:tr w:rsidR="0093248E" w:rsidRPr="0093248E" w:rsidTr="0093248E">
        <w:tc>
          <w:tcPr>
            <w:tcW w:w="9412" w:type="dxa"/>
            <w:gridSpan w:val="8"/>
            <w:shd w:val="clear" w:color="auto" w:fill="E7E6E6" w:themeFill="background2"/>
          </w:tcPr>
          <w:p w:rsidR="0093248E" w:rsidRPr="0093248E" w:rsidRDefault="0093248E" w:rsidP="00103C0A">
            <w:pPr>
              <w:jc w:val="right"/>
              <w:rPr>
                <w:b/>
                <w:sz w:val="20"/>
                <w:szCs w:val="20"/>
              </w:rPr>
            </w:pPr>
            <w:r w:rsidRPr="0093248E">
              <w:rPr>
                <w:b/>
                <w:sz w:val="20"/>
                <w:szCs w:val="20"/>
              </w:rPr>
              <w:t xml:space="preserve">Projected total annual core expenditure </w:t>
            </w:r>
          </w:p>
        </w:tc>
        <w:tc>
          <w:tcPr>
            <w:tcW w:w="1259" w:type="dxa"/>
            <w:shd w:val="clear" w:color="auto" w:fill="E7E6E6" w:themeFill="background2"/>
          </w:tcPr>
          <w:p w:rsidR="0093248E" w:rsidRPr="0093248E" w:rsidRDefault="0093248E" w:rsidP="00103C0A">
            <w:pPr>
              <w:jc w:val="center"/>
              <w:rPr>
                <w:sz w:val="20"/>
                <w:szCs w:val="20"/>
              </w:rPr>
            </w:pPr>
            <w:r w:rsidRPr="0093248E">
              <w:rPr>
                <w:b/>
                <w:sz w:val="20"/>
                <w:szCs w:val="20"/>
              </w:rPr>
              <w:t>£21,062-38</w:t>
            </w:r>
          </w:p>
        </w:tc>
        <w:tc>
          <w:tcPr>
            <w:tcW w:w="1255" w:type="dxa"/>
            <w:shd w:val="clear" w:color="auto" w:fill="E7E6E6" w:themeFill="background2"/>
          </w:tcPr>
          <w:p w:rsidR="0093248E" w:rsidRPr="0093248E" w:rsidRDefault="0093248E" w:rsidP="00103C0A">
            <w:pPr>
              <w:jc w:val="center"/>
              <w:rPr>
                <w:sz w:val="20"/>
                <w:szCs w:val="20"/>
              </w:rPr>
            </w:pPr>
            <w:r w:rsidRPr="0093248E">
              <w:rPr>
                <w:b/>
                <w:sz w:val="20"/>
                <w:szCs w:val="20"/>
              </w:rPr>
              <w:t>£40,939-49</w:t>
            </w:r>
          </w:p>
        </w:tc>
        <w:tc>
          <w:tcPr>
            <w:tcW w:w="1271" w:type="dxa"/>
            <w:shd w:val="clear" w:color="auto" w:fill="E7E6E6" w:themeFill="background2"/>
          </w:tcPr>
          <w:p w:rsidR="0093248E" w:rsidRPr="0093248E" w:rsidRDefault="0093248E" w:rsidP="00103C0A">
            <w:pPr>
              <w:jc w:val="center"/>
              <w:rPr>
                <w:sz w:val="20"/>
                <w:szCs w:val="20"/>
              </w:rPr>
            </w:pPr>
            <w:r w:rsidRPr="0093248E">
              <w:rPr>
                <w:b/>
                <w:sz w:val="20"/>
                <w:szCs w:val="20"/>
              </w:rPr>
              <w:t>£47,949-12</w:t>
            </w:r>
          </w:p>
        </w:tc>
        <w:tc>
          <w:tcPr>
            <w:tcW w:w="2193" w:type="dxa"/>
            <w:shd w:val="clear" w:color="auto" w:fill="FFFFFF" w:themeFill="background1"/>
          </w:tcPr>
          <w:p w:rsidR="0093248E" w:rsidRPr="0093248E" w:rsidRDefault="0093248E" w:rsidP="00103C0A">
            <w:pPr>
              <w:rPr>
                <w:sz w:val="20"/>
                <w:szCs w:val="20"/>
              </w:rPr>
            </w:pPr>
          </w:p>
        </w:tc>
      </w:tr>
      <w:tr w:rsidR="0093248E" w:rsidTr="0093248E">
        <w:tc>
          <w:tcPr>
            <w:tcW w:w="8421" w:type="dxa"/>
            <w:gridSpan w:val="7"/>
          </w:tcPr>
          <w:p w:rsidR="0093248E" w:rsidRPr="0093248E" w:rsidRDefault="0093248E" w:rsidP="00103C0A">
            <w:pPr>
              <w:rPr>
                <w:sz w:val="18"/>
                <w:szCs w:val="18"/>
              </w:rPr>
            </w:pPr>
            <w:r w:rsidRPr="0093248E">
              <w:rPr>
                <w:sz w:val="18"/>
                <w:szCs w:val="18"/>
              </w:rPr>
              <w:t xml:space="preserve">NB cost of events, residentials, </w:t>
            </w:r>
            <w:proofErr w:type="spellStart"/>
            <w:r w:rsidRPr="0093248E">
              <w:rPr>
                <w:sz w:val="18"/>
                <w:szCs w:val="18"/>
              </w:rPr>
              <w:t>misc</w:t>
            </w:r>
            <w:proofErr w:type="spellEnd"/>
            <w:r w:rsidRPr="0093248E">
              <w:rPr>
                <w:sz w:val="18"/>
                <w:szCs w:val="18"/>
              </w:rPr>
              <w:t xml:space="preserve"> activities not included; suggest 10K annual budget</w:t>
            </w:r>
          </w:p>
        </w:tc>
        <w:tc>
          <w:tcPr>
            <w:tcW w:w="991" w:type="dxa"/>
          </w:tcPr>
          <w:p w:rsidR="0093248E" w:rsidRDefault="0093248E" w:rsidP="00103C0A"/>
        </w:tc>
        <w:tc>
          <w:tcPr>
            <w:tcW w:w="1259" w:type="dxa"/>
          </w:tcPr>
          <w:p w:rsidR="0093248E" w:rsidRDefault="0093248E" w:rsidP="00103C0A">
            <w:pPr>
              <w:jc w:val="center"/>
              <w:rPr>
                <w:b/>
              </w:rPr>
            </w:pPr>
          </w:p>
        </w:tc>
        <w:tc>
          <w:tcPr>
            <w:tcW w:w="1255" w:type="dxa"/>
          </w:tcPr>
          <w:p w:rsidR="0093248E" w:rsidRPr="00DD11F0" w:rsidRDefault="0093248E" w:rsidP="00103C0A">
            <w:pPr>
              <w:jc w:val="center"/>
              <w:rPr>
                <w:b/>
              </w:rPr>
            </w:pPr>
          </w:p>
        </w:tc>
        <w:tc>
          <w:tcPr>
            <w:tcW w:w="1271" w:type="dxa"/>
          </w:tcPr>
          <w:p w:rsidR="0093248E" w:rsidRPr="00DD11F0" w:rsidRDefault="0093248E" w:rsidP="00103C0A">
            <w:pPr>
              <w:jc w:val="center"/>
              <w:rPr>
                <w:b/>
              </w:rPr>
            </w:pPr>
          </w:p>
        </w:tc>
        <w:tc>
          <w:tcPr>
            <w:tcW w:w="2193" w:type="dxa"/>
          </w:tcPr>
          <w:p w:rsidR="0093248E" w:rsidRDefault="0093248E" w:rsidP="00103C0A"/>
        </w:tc>
      </w:tr>
    </w:tbl>
    <w:p w:rsidR="0093248E" w:rsidRPr="00BE3513" w:rsidRDefault="0093248E" w:rsidP="007D22FD">
      <w:pPr>
        <w:jc w:val="both"/>
        <w:rPr>
          <w:rFonts w:ascii="Arial" w:hAnsi="Arial" w:cs="Arial"/>
          <w:sz w:val="16"/>
          <w:szCs w:val="16"/>
        </w:rPr>
      </w:pPr>
    </w:p>
    <w:sectPr w:rsidR="0093248E" w:rsidRPr="00BE3513" w:rsidSect="00642BAB">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46" w:rsidRDefault="00524D46">
      <w:r>
        <w:separator/>
      </w:r>
    </w:p>
  </w:endnote>
  <w:endnote w:type="continuationSeparator" w:id="0">
    <w:p w:rsidR="00524D46" w:rsidRDefault="0052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6" w:rsidRDefault="00524D46" w:rsidP="00464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D46" w:rsidRDefault="00524D46" w:rsidP="00464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6" w:rsidRPr="00B06912" w:rsidRDefault="00524D46" w:rsidP="00780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46" w:rsidRDefault="00524D46">
      <w:r>
        <w:separator/>
      </w:r>
    </w:p>
  </w:footnote>
  <w:footnote w:type="continuationSeparator" w:id="0">
    <w:p w:rsidR="00524D46" w:rsidRDefault="0052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6" w:rsidRPr="0005642E" w:rsidRDefault="00524D46" w:rsidP="0005642E">
    <w:pPr>
      <w:pStyle w:val="Header"/>
      <w:jc w:val="center"/>
      <w:rPr>
        <w:i/>
        <w:sz w:val="20"/>
        <w:szCs w:val="20"/>
      </w:rPr>
    </w:pPr>
    <w:r w:rsidRPr="0005642E">
      <w:rPr>
        <w:i/>
        <w:sz w:val="20"/>
        <w:szCs w:val="20"/>
      </w:rPr>
      <w:t xml:space="preserve">BSTC Strategic Planning Meeting – </w:t>
    </w:r>
    <w:r>
      <w:rPr>
        <w:i/>
        <w:sz w:val="20"/>
        <w:szCs w:val="20"/>
      </w:rPr>
      <w:t>11</w:t>
    </w:r>
    <w:r w:rsidRPr="0005642E">
      <w:rPr>
        <w:i/>
        <w:sz w:val="20"/>
        <w:szCs w:val="20"/>
        <w:vertAlign w:val="superscript"/>
      </w:rPr>
      <w:t>th</w:t>
    </w:r>
    <w:r w:rsidRPr="0005642E">
      <w:rPr>
        <w:i/>
        <w:sz w:val="20"/>
        <w:szCs w:val="20"/>
      </w:rPr>
      <w:t xml:space="preserve"> September 201</w:t>
    </w:r>
    <w:r>
      <w:rPr>
        <w:i/>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D2EFC"/>
    <w:multiLevelType w:val="hybridMultilevel"/>
    <w:tmpl w:val="752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5AF9"/>
    <w:multiLevelType w:val="hybridMultilevel"/>
    <w:tmpl w:val="8690AA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CA2355C"/>
    <w:multiLevelType w:val="hybridMultilevel"/>
    <w:tmpl w:val="83C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0491C"/>
    <w:multiLevelType w:val="hybridMultilevel"/>
    <w:tmpl w:val="4C1AE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D751638"/>
    <w:multiLevelType w:val="hybridMultilevel"/>
    <w:tmpl w:val="2B583D2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15:restartNumberingAfterBreak="0">
    <w:nsid w:val="2ED31A78"/>
    <w:multiLevelType w:val="hybridMultilevel"/>
    <w:tmpl w:val="6DDAB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6226786"/>
    <w:multiLevelType w:val="hybridMultilevel"/>
    <w:tmpl w:val="A5E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868D3"/>
    <w:multiLevelType w:val="hybridMultilevel"/>
    <w:tmpl w:val="4282DB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FE03398"/>
    <w:multiLevelType w:val="hybridMultilevel"/>
    <w:tmpl w:val="2356FAE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6C94A91"/>
    <w:multiLevelType w:val="hybridMultilevel"/>
    <w:tmpl w:val="DF8C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66791"/>
    <w:multiLevelType w:val="hybridMultilevel"/>
    <w:tmpl w:val="FB16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55121"/>
    <w:multiLevelType w:val="hybridMultilevel"/>
    <w:tmpl w:val="9334C40A"/>
    <w:lvl w:ilvl="0" w:tplc="87BCDA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981686"/>
    <w:multiLevelType w:val="hybridMultilevel"/>
    <w:tmpl w:val="69C2D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1A1F24"/>
    <w:multiLevelType w:val="hybridMultilevel"/>
    <w:tmpl w:val="C43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46115"/>
    <w:multiLevelType w:val="hybridMultilevel"/>
    <w:tmpl w:val="4FE0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A45A9B"/>
    <w:multiLevelType w:val="hybridMultilevel"/>
    <w:tmpl w:val="6BB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D5D1E"/>
    <w:multiLevelType w:val="hybridMultilevel"/>
    <w:tmpl w:val="3E941F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9250E4A"/>
    <w:multiLevelType w:val="hybridMultilevel"/>
    <w:tmpl w:val="DDE09C6C"/>
    <w:lvl w:ilvl="0" w:tplc="227EB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10"/>
  </w:num>
  <w:num w:numId="6">
    <w:abstractNumId w:val="9"/>
  </w:num>
  <w:num w:numId="7">
    <w:abstractNumId w:val="3"/>
  </w:num>
  <w:num w:numId="8">
    <w:abstractNumId w:val="7"/>
  </w:num>
  <w:num w:numId="9">
    <w:abstractNumId w:val="4"/>
  </w:num>
  <w:num w:numId="10">
    <w:abstractNumId w:val="8"/>
  </w:num>
  <w:num w:numId="11">
    <w:abstractNumId w:val="13"/>
  </w:num>
  <w:num w:numId="12">
    <w:abstractNumId w:val="13"/>
  </w:num>
  <w:num w:numId="13">
    <w:abstractNumId w:val="14"/>
  </w:num>
  <w:num w:numId="14">
    <w:abstractNumId w:val="16"/>
  </w:num>
  <w:num w:numId="15">
    <w:abstractNumId w:val="20"/>
  </w:num>
  <w:num w:numId="16">
    <w:abstractNumId w:val="15"/>
  </w:num>
  <w:num w:numId="17">
    <w:abstractNumId w:val="11"/>
  </w:num>
  <w:num w:numId="18">
    <w:abstractNumId w:val="12"/>
  </w:num>
  <w:num w:numId="19">
    <w:abstractNumId w:val="18"/>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8"/>
    <w:rsid w:val="00005F56"/>
    <w:rsid w:val="00020974"/>
    <w:rsid w:val="00027977"/>
    <w:rsid w:val="00050C55"/>
    <w:rsid w:val="0005642E"/>
    <w:rsid w:val="00065CA7"/>
    <w:rsid w:val="00070BCC"/>
    <w:rsid w:val="00096792"/>
    <w:rsid w:val="000A0029"/>
    <w:rsid w:val="000B26FC"/>
    <w:rsid w:val="000D005B"/>
    <w:rsid w:val="000D051C"/>
    <w:rsid w:val="000D7B8A"/>
    <w:rsid w:val="000E0F5C"/>
    <w:rsid w:val="000E1103"/>
    <w:rsid w:val="000E42F0"/>
    <w:rsid w:val="00112739"/>
    <w:rsid w:val="001174BE"/>
    <w:rsid w:val="00127595"/>
    <w:rsid w:val="00152BF0"/>
    <w:rsid w:val="00153A38"/>
    <w:rsid w:val="00155A75"/>
    <w:rsid w:val="00162885"/>
    <w:rsid w:val="00167F7A"/>
    <w:rsid w:val="00192490"/>
    <w:rsid w:val="00196DA2"/>
    <w:rsid w:val="001A2D97"/>
    <w:rsid w:val="001C0960"/>
    <w:rsid w:val="001C4B94"/>
    <w:rsid w:val="001C7C13"/>
    <w:rsid w:val="001D6F84"/>
    <w:rsid w:val="001E1553"/>
    <w:rsid w:val="001F1272"/>
    <w:rsid w:val="00205702"/>
    <w:rsid w:val="00205E41"/>
    <w:rsid w:val="00210124"/>
    <w:rsid w:val="002255C6"/>
    <w:rsid w:val="0025068D"/>
    <w:rsid w:val="00253866"/>
    <w:rsid w:val="002556D7"/>
    <w:rsid w:val="00270D71"/>
    <w:rsid w:val="00272860"/>
    <w:rsid w:val="002B0D33"/>
    <w:rsid w:val="002B67AD"/>
    <w:rsid w:val="002B6D96"/>
    <w:rsid w:val="002B7A87"/>
    <w:rsid w:val="0030377A"/>
    <w:rsid w:val="00311AF2"/>
    <w:rsid w:val="00322123"/>
    <w:rsid w:val="00340873"/>
    <w:rsid w:val="00352E2A"/>
    <w:rsid w:val="0035746D"/>
    <w:rsid w:val="003754FB"/>
    <w:rsid w:val="003758E2"/>
    <w:rsid w:val="003C6044"/>
    <w:rsid w:val="003D0EDE"/>
    <w:rsid w:val="003D4ECB"/>
    <w:rsid w:val="003D7734"/>
    <w:rsid w:val="003F4142"/>
    <w:rsid w:val="00402542"/>
    <w:rsid w:val="00425BD9"/>
    <w:rsid w:val="00426BB9"/>
    <w:rsid w:val="00441A61"/>
    <w:rsid w:val="004555B0"/>
    <w:rsid w:val="00463F4C"/>
    <w:rsid w:val="004647E1"/>
    <w:rsid w:val="0047044C"/>
    <w:rsid w:val="0047380A"/>
    <w:rsid w:val="00474EBD"/>
    <w:rsid w:val="00475A29"/>
    <w:rsid w:val="004A0F6A"/>
    <w:rsid w:val="004A1B82"/>
    <w:rsid w:val="004B6CA5"/>
    <w:rsid w:val="004C0915"/>
    <w:rsid w:val="004D3F5B"/>
    <w:rsid w:val="004E5E87"/>
    <w:rsid w:val="004E6B80"/>
    <w:rsid w:val="0050153A"/>
    <w:rsid w:val="00524D46"/>
    <w:rsid w:val="00526722"/>
    <w:rsid w:val="00567A1F"/>
    <w:rsid w:val="005712E5"/>
    <w:rsid w:val="00587E18"/>
    <w:rsid w:val="00590EF7"/>
    <w:rsid w:val="0059592E"/>
    <w:rsid w:val="005A6A93"/>
    <w:rsid w:val="005C6788"/>
    <w:rsid w:val="005C70B7"/>
    <w:rsid w:val="005F7842"/>
    <w:rsid w:val="00603D63"/>
    <w:rsid w:val="00605DA1"/>
    <w:rsid w:val="00622D1B"/>
    <w:rsid w:val="00624E17"/>
    <w:rsid w:val="00626ACC"/>
    <w:rsid w:val="0063708E"/>
    <w:rsid w:val="00642BAB"/>
    <w:rsid w:val="006440A0"/>
    <w:rsid w:val="006601CF"/>
    <w:rsid w:val="006655EE"/>
    <w:rsid w:val="00686DB9"/>
    <w:rsid w:val="00695902"/>
    <w:rsid w:val="006B089F"/>
    <w:rsid w:val="006B0DEE"/>
    <w:rsid w:val="006B7016"/>
    <w:rsid w:val="006C7449"/>
    <w:rsid w:val="00715452"/>
    <w:rsid w:val="00744873"/>
    <w:rsid w:val="00750713"/>
    <w:rsid w:val="0076280E"/>
    <w:rsid w:val="007667AF"/>
    <w:rsid w:val="00780829"/>
    <w:rsid w:val="00785188"/>
    <w:rsid w:val="007A25E6"/>
    <w:rsid w:val="007A2AD1"/>
    <w:rsid w:val="007A3F2B"/>
    <w:rsid w:val="007A4C7E"/>
    <w:rsid w:val="007C5D88"/>
    <w:rsid w:val="007D1042"/>
    <w:rsid w:val="007D22FD"/>
    <w:rsid w:val="007D4A5E"/>
    <w:rsid w:val="008006DD"/>
    <w:rsid w:val="00814662"/>
    <w:rsid w:val="0082287A"/>
    <w:rsid w:val="00835EA2"/>
    <w:rsid w:val="00844AE8"/>
    <w:rsid w:val="0084651D"/>
    <w:rsid w:val="00857DA1"/>
    <w:rsid w:val="00872FF6"/>
    <w:rsid w:val="008901F8"/>
    <w:rsid w:val="008A5871"/>
    <w:rsid w:val="008B37EC"/>
    <w:rsid w:val="008C3F6A"/>
    <w:rsid w:val="009035B4"/>
    <w:rsid w:val="00904480"/>
    <w:rsid w:val="00911B29"/>
    <w:rsid w:val="009157B1"/>
    <w:rsid w:val="0093248E"/>
    <w:rsid w:val="00940B42"/>
    <w:rsid w:val="0095403F"/>
    <w:rsid w:val="009708CA"/>
    <w:rsid w:val="009714A3"/>
    <w:rsid w:val="00973F24"/>
    <w:rsid w:val="009C0C61"/>
    <w:rsid w:val="009C4464"/>
    <w:rsid w:val="009C679F"/>
    <w:rsid w:val="00A01B64"/>
    <w:rsid w:val="00A03111"/>
    <w:rsid w:val="00A045F4"/>
    <w:rsid w:val="00A0759A"/>
    <w:rsid w:val="00A12082"/>
    <w:rsid w:val="00A30DE8"/>
    <w:rsid w:val="00A4219F"/>
    <w:rsid w:val="00A56415"/>
    <w:rsid w:val="00A84B6C"/>
    <w:rsid w:val="00AA1AEB"/>
    <w:rsid w:val="00AB4EF1"/>
    <w:rsid w:val="00AB5D16"/>
    <w:rsid w:val="00AD08FC"/>
    <w:rsid w:val="00AD6A0C"/>
    <w:rsid w:val="00AD6CA6"/>
    <w:rsid w:val="00AE1341"/>
    <w:rsid w:val="00AE1505"/>
    <w:rsid w:val="00AE5135"/>
    <w:rsid w:val="00AF3843"/>
    <w:rsid w:val="00AF771D"/>
    <w:rsid w:val="00B05A76"/>
    <w:rsid w:val="00B05AC1"/>
    <w:rsid w:val="00B06912"/>
    <w:rsid w:val="00BA247B"/>
    <w:rsid w:val="00BA64B1"/>
    <w:rsid w:val="00BC39AE"/>
    <w:rsid w:val="00BD3151"/>
    <w:rsid w:val="00BD4612"/>
    <w:rsid w:val="00BD55A3"/>
    <w:rsid w:val="00BE3513"/>
    <w:rsid w:val="00BF2FA6"/>
    <w:rsid w:val="00C11EE8"/>
    <w:rsid w:val="00C13082"/>
    <w:rsid w:val="00C32F94"/>
    <w:rsid w:val="00C46F9B"/>
    <w:rsid w:val="00C54722"/>
    <w:rsid w:val="00C55C6D"/>
    <w:rsid w:val="00C61816"/>
    <w:rsid w:val="00C81E91"/>
    <w:rsid w:val="00C90480"/>
    <w:rsid w:val="00C94E71"/>
    <w:rsid w:val="00C95215"/>
    <w:rsid w:val="00CA0946"/>
    <w:rsid w:val="00CA2D23"/>
    <w:rsid w:val="00CA465A"/>
    <w:rsid w:val="00CF7CF6"/>
    <w:rsid w:val="00D34043"/>
    <w:rsid w:val="00D401BD"/>
    <w:rsid w:val="00D630F1"/>
    <w:rsid w:val="00D72223"/>
    <w:rsid w:val="00D919A1"/>
    <w:rsid w:val="00DA7067"/>
    <w:rsid w:val="00DE2AA4"/>
    <w:rsid w:val="00DE5EE2"/>
    <w:rsid w:val="00DF320D"/>
    <w:rsid w:val="00DF6FDA"/>
    <w:rsid w:val="00E169B7"/>
    <w:rsid w:val="00E43ED4"/>
    <w:rsid w:val="00E503EB"/>
    <w:rsid w:val="00E5735E"/>
    <w:rsid w:val="00E6461B"/>
    <w:rsid w:val="00E72BAB"/>
    <w:rsid w:val="00E80B0A"/>
    <w:rsid w:val="00E82BFE"/>
    <w:rsid w:val="00EA0008"/>
    <w:rsid w:val="00EB1B3F"/>
    <w:rsid w:val="00ED2421"/>
    <w:rsid w:val="00EE2E29"/>
    <w:rsid w:val="00EE5AD4"/>
    <w:rsid w:val="00F105B6"/>
    <w:rsid w:val="00F17720"/>
    <w:rsid w:val="00F2572E"/>
    <w:rsid w:val="00F337A1"/>
    <w:rsid w:val="00F35841"/>
    <w:rsid w:val="00F47F5F"/>
    <w:rsid w:val="00F57D2B"/>
    <w:rsid w:val="00F65F74"/>
    <w:rsid w:val="00F70F54"/>
    <w:rsid w:val="00F8368A"/>
    <w:rsid w:val="00F84609"/>
    <w:rsid w:val="00FB6F81"/>
    <w:rsid w:val="00FD10BE"/>
    <w:rsid w:val="00FF0087"/>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B322E5"/>
  <w15:chartTrackingRefBased/>
  <w15:docId w15:val="{72F2FEB1-372F-4657-AFBD-669C29A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912"/>
    <w:pPr>
      <w:tabs>
        <w:tab w:val="center" w:pos="4153"/>
        <w:tab w:val="right" w:pos="8306"/>
      </w:tabs>
    </w:pPr>
  </w:style>
  <w:style w:type="paragraph" w:styleId="Footer">
    <w:name w:val="footer"/>
    <w:basedOn w:val="Normal"/>
    <w:rsid w:val="00B06912"/>
    <w:pPr>
      <w:tabs>
        <w:tab w:val="center" w:pos="4153"/>
        <w:tab w:val="right" w:pos="8306"/>
      </w:tabs>
    </w:pPr>
  </w:style>
  <w:style w:type="character" w:styleId="PageNumber">
    <w:name w:val="page number"/>
    <w:basedOn w:val="DefaultParagraphFont"/>
    <w:rsid w:val="004647E1"/>
  </w:style>
  <w:style w:type="paragraph" w:styleId="DocumentMap">
    <w:name w:val="Document Map"/>
    <w:basedOn w:val="Normal"/>
    <w:semiHidden/>
    <w:rsid w:val="003758E2"/>
    <w:pPr>
      <w:shd w:val="clear" w:color="auto" w:fill="000080"/>
    </w:pPr>
    <w:rPr>
      <w:rFonts w:ascii="Tahoma" w:hAnsi="Tahoma" w:cs="Tahoma"/>
      <w:sz w:val="20"/>
      <w:szCs w:val="20"/>
    </w:rPr>
  </w:style>
  <w:style w:type="paragraph" w:styleId="NormalWeb">
    <w:name w:val="Normal (Web)"/>
    <w:basedOn w:val="Normal"/>
    <w:rsid w:val="004555B0"/>
    <w:pPr>
      <w:spacing w:before="100" w:beforeAutospacing="1" w:after="100" w:afterAutospacing="1"/>
    </w:pPr>
  </w:style>
  <w:style w:type="paragraph" w:styleId="ListParagraph">
    <w:name w:val="List Paragraph"/>
    <w:basedOn w:val="Normal"/>
    <w:uiPriority w:val="34"/>
    <w:qFormat/>
    <w:rsid w:val="00844AE8"/>
    <w:pPr>
      <w:spacing w:after="200" w:line="276" w:lineRule="auto"/>
      <w:ind w:left="720"/>
      <w:contextualSpacing/>
    </w:pPr>
    <w:rPr>
      <w:rFonts w:ascii="Calibri" w:hAnsi="Calibri"/>
      <w:sz w:val="22"/>
      <w:szCs w:val="22"/>
      <w:lang w:eastAsia="en-US"/>
    </w:rPr>
  </w:style>
  <w:style w:type="paragraph" w:customStyle="1" w:styleId="Vickysbullets">
    <w:name w:val="Vicky's bullets"/>
    <w:basedOn w:val="Normal"/>
    <w:rsid w:val="00626ACC"/>
    <w:pPr>
      <w:numPr>
        <w:numId w:val="3"/>
      </w:numPr>
    </w:pPr>
    <w:rPr>
      <w:lang w:eastAsia="en-US"/>
    </w:rPr>
  </w:style>
  <w:style w:type="table" w:styleId="TableGrid">
    <w:name w:val="Table Grid"/>
    <w:basedOn w:val="TableNormal"/>
    <w:uiPriority w:val="39"/>
    <w:rsid w:val="009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50713"/>
    <w:rPr>
      <w:b/>
      <w:bCs/>
    </w:rPr>
  </w:style>
  <w:style w:type="paragraph" w:styleId="BalloonText">
    <w:name w:val="Balloon Text"/>
    <w:basedOn w:val="Normal"/>
    <w:link w:val="BalloonTextChar"/>
    <w:rsid w:val="00C55C6D"/>
    <w:rPr>
      <w:rFonts w:ascii="Segoe UI" w:hAnsi="Segoe UI" w:cs="Segoe UI"/>
      <w:sz w:val="18"/>
      <w:szCs w:val="18"/>
    </w:rPr>
  </w:style>
  <w:style w:type="character" w:customStyle="1" w:styleId="BalloonTextChar">
    <w:name w:val="Balloon Text Char"/>
    <w:basedOn w:val="DefaultParagraphFont"/>
    <w:link w:val="BalloonText"/>
    <w:rsid w:val="00C55C6D"/>
    <w:rPr>
      <w:rFonts w:ascii="Segoe UI" w:hAnsi="Segoe UI" w:cs="Segoe UI"/>
      <w:sz w:val="18"/>
      <w:szCs w:val="18"/>
    </w:rPr>
  </w:style>
  <w:style w:type="paragraph" w:customStyle="1" w:styleId="gmail-msolistparagraph">
    <w:name w:val="gmail-msolistparagraph"/>
    <w:basedOn w:val="Normal"/>
    <w:rsid w:val="00F70F54"/>
    <w:pPr>
      <w:spacing w:before="100" w:beforeAutospacing="1" w:after="100" w:afterAutospacing="1"/>
    </w:pPr>
    <w:rPr>
      <w:rFonts w:eastAsiaTheme="minorHAnsi"/>
    </w:rPr>
  </w:style>
  <w:style w:type="paragraph" w:styleId="FootnoteText">
    <w:name w:val="footnote text"/>
    <w:basedOn w:val="Normal"/>
    <w:link w:val="FootnoteTextChar"/>
    <w:rsid w:val="00FF0087"/>
    <w:rPr>
      <w:sz w:val="20"/>
      <w:szCs w:val="20"/>
    </w:rPr>
  </w:style>
  <w:style w:type="character" w:customStyle="1" w:styleId="FootnoteTextChar">
    <w:name w:val="Footnote Text Char"/>
    <w:basedOn w:val="DefaultParagraphFont"/>
    <w:link w:val="FootnoteText"/>
    <w:rsid w:val="00FF0087"/>
  </w:style>
  <w:style w:type="character" w:styleId="FootnoteReference">
    <w:name w:val="footnote reference"/>
    <w:uiPriority w:val="99"/>
    <w:unhideWhenUsed/>
    <w:rsid w:val="00FF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1595">
      <w:bodyDiv w:val="1"/>
      <w:marLeft w:val="0"/>
      <w:marRight w:val="0"/>
      <w:marTop w:val="0"/>
      <w:marBottom w:val="0"/>
      <w:divBdr>
        <w:top w:val="none" w:sz="0" w:space="0" w:color="auto"/>
        <w:left w:val="none" w:sz="0" w:space="0" w:color="auto"/>
        <w:bottom w:val="none" w:sz="0" w:space="0" w:color="auto"/>
        <w:right w:val="none" w:sz="0" w:space="0" w:color="auto"/>
      </w:divBdr>
    </w:div>
    <w:div w:id="466045126">
      <w:bodyDiv w:val="1"/>
      <w:marLeft w:val="0"/>
      <w:marRight w:val="0"/>
      <w:marTop w:val="0"/>
      <w:marBottom w:val="0"/>
      <w:divBdr>
        <w:top w:val="none" w:sz="0" w:space="0" w:color="auto"/>
        <w:left w:val="none" w:sz="0" w:space="0" w:color="auto"/>
        <w:bottom w:val="none" w:sz="0" w:space="0" w:color="auto"/>
        <w:right w:val="none" w:sz="0" w:space="0" w:color="auto"/>
      </w:divBdr>
    </w:div>
    <w:div w:id="673261387">
      <w:bodyDiv w:val="1"/>
      <w:marLeft w:val="0"/>
      <w:marRight w:val="0"/>
      <w:marTop w:val="0"/>
      <w:marBottom w:val="0"/>
      <w:divBdr>
        <w:top w:val="none" w:sz="0" w:space="0" w:color="auto"/>
        <w:left w:val="none" w:sz="0" w:space="0" w:color="auto"/>
        <w:bottom w:val="none" w:sz="0" w:space="0" w:color="auto"/>
        <w:right w:val="none" w:sz="0" w:space="0" w:color="auto"/>
      </w:divBdr>
    </w:div>
    <w:div w:id="933516156">
      <w:bodyDiv w:val="1"/>
      <w:marLeft w:val="0"/>
      <w:marRight w:val="0"/>
      <w:marTop w:val="0"/>
      <w:marBottom w:val="0"/>
      <w:divBdr>
        <w:top w:val="none" w:sz="0" w:space="0" w:color="auto"/>
        <w:left w:val="none" w:sz="0" w:space="0" w:color="auto"/>
        <w:bottom w:val="none" w:sz="0" w:space="0" w:color="auto"/>
        <w:right w:val="none" w:sz="0" w:space="0" w:color="auto"/>
      </w:divBdr>
    </w:div>
    <w:div w:id="988826583">
      <w:bodyDiv w:val="1"/>
      <w:marLeft w:val="0"/>
      <w:marRight w:val="0"/>
      <w:marTop w:val="0"/>
      <w:marBottom w:val="0"/>
      <w:divBdr>
        <w:top w:val="none" w:sz="0" w:space="0" w:color="auto"/>
        <w:left w:val="none" w:sz="0" w:space="0" w:color="auto"/>
        <w:bottom w:val="none" w:sz="0" w:space="0" w:color="auto"/>
        <w:right w:val="none" w:sz="0" w:space="0" w:color="auto"/>
      </w:divBdr>
    </w:div>
    <w:div w:id="1017148455">
      <w:bodyDiv w:val="1"/>
      <w:marLeft w:val="0"/>
      <w:marRight w:val="0"/>
      <w:marTop w:val="0"/>
      <w:marBottom w:val="0"/>
      <w:divBdr>
        <w:top w:val="none" w:sz="0" w:space="0" w:color="auto"/>
        <w:left w:val="none" w:sz="0" w:space="0" w:color="auto"/>
        <w:bottom w:val="none" w:sz="0" w:space="0" w:color="auto"/>
        <w:right w:val="none" w:sz="0" w:space="0" w:color="auto"/>
      </w:divBdr>
    </w:div>
    <w:div w:id="1120883518">
      <w:bodyDiv w:val="1"/>
      <w:marLeft w:val="0"/>
      <w:marRight w:val="0"/>
      <w:marTop w:val="0"/>
      <w:marBottom w:val="0"/>
      <w:divBdr>
        <w:top w:val="none" w:sz="0" w:space="0" w:color="auto"/>
        <w:left w:val="none" w:sz="0" w:space="0" w:color="auto"/>
        <w:bottom w:val="none" w:sz="0" w:space="0" w:color="auto"/>
        <w:right w:val="none" w:sz="0" w:space="0" w:color="auto"/>
      </w:divBdr>
    </w:div>
    <w:div w:id="1255942593">
      <w:bodyDiv w:val="1"/>
      <w:marLeft w:val="0"/>
      <w:marRight w:val="0"/>
      <w:marTop w:val="0"/>
      <w:marBottom w:val="0"/>
      <w:divBdr>
        <w:top w:val="none" w:sz="0" w:space="0" w:color="auto"/>
        <w:left w:val="none" w:sz="0" w:space="0" w:color="auto"/>
        <w:bottom w:val="none" w:sz="0" w:space="0" w:color="auto"/>
        <w:right w:val="none" w:sz="0" w:space="0" w:color="auto"/>
      </w:divBdr>
      <w:divsChild>
        <w:div w:id="95053721">
          <w:marLeft w:val="0"/>
          <w:marRight w:val="0"/>
          <w:marTop w:val="0"/>
          <w:marBottom w:val="0"/>
          <w:divBdr>
            <w:top w:val="none" w:sz="0" w:space="0" w:color="auto"/>
            <w:left w:val="none" w:sz="0" w:space="0" w:color="auto"/>
            <w:bottom w:val="none" w:sz="0" w:space="0" w:color="auto"/>
            <w:right w:val="none" w:sz="0" w:space="0" w:color="auto"/>
          </w:divBdr>
        </w:div>
        <w:div w:id="156305157">
          <w:marLeft w:val="0"/>
          <w:marRight w:val="0"/>
          <w:marTop w:val="0"/>
          <w:marBottom w:val="0"/>
          <w:divBdr>
            <w:top w:val="none" w:sz="0" w:space="0" w:color="auto"/>
            <w:left w:val="none" w:sz="0" w:space="0" w:color="auto"/>
            <w:bottom w:val="none" w:sz="0" w:space="0" w:color="auto"/>
            <w:right w:val="none" w:sz="0" w:space="0" w:color="auto"/>
          </w:divBdr>
        </w:div>
        <w:div w:id="320425316">
          <w:marLeft w:val="0"/>
          <w:marRight w:val="0"/>
          <w:marTop w:val="0"/>
          <w:marBottom w:val="0"/>
          <w:divBdr>
            <w:top w:val="none" w:sz="0" w:space="0" w:color="auto"/>
            <w:left w:val="none" w:sz="0" w:space="0" w:color="auto"/>
            <w:bottom w:val="none" w:sz="0" w:space="0" w:color="auto"/>
            <w:right w:val="none" w:sz="0" w:space="0" w:color="auto"/>
          </w:divBdr>
        </w:div>
        <w:div w:id="549805575">
          <w:marLeft w:val="0"/>
          <w:marRight w:val="0"/>
          <w:marTop w:val="0"/>
          <w:marBottom w:val="0"/>
          <w:divBdr>
            <w:top w:val="none" w:sz="0" w:space="0" w:color="auto"/>
            <w:left w:val="none" w:sz="0" w:space="0" w:color="auto"/>
            <w:bottom w:val="none" w:sz="0" w:space="0" w:color="auto"/>
            <w:right w:val="none" w:sz="0" w:space="0" w:color="auto"/>
          </w:divBdr>
        </w:div>
        <w:div w:id="731658590">
          <w:marLeft w:val="0"/>
          <w:marRight w:val="0"/>
          <w:marTop w:val="0"/>
          <w:marBottom w:val="0"/>
          <w:divBdr>
            <w:top w:val="none" w:sz="0" w:space="0" w:color="auto"/>
            <w:left w:val="none" w:sz="0" w:space="0" w:color="auto"/>
            <w:bottom w:val="none" w:sz="0" w:space="0" w:color="auto"/>
            <w:right w:val="none" w:sz="0" w:space="0" w:color="auto"/>
          </w:divBdr>
        </w:div>
        <w:div w:id="1318847447">
          <w:marLeft w:val="0"/>
          <w:marRight w:val="0"/>
          <w:marTop w:val="0"/>
          <w:marBottom w:val="0"/>
          <w:divBdr>
            <w:top w:val="none" w:sz="0" w:space="0" w:color="auto"/>
            <w:left w:val="none" w:sz="0" w:space="0" w:color="auto"/>
            <w:bottom w:val="none" w:sz="0" w:space="0" w:color="auto"/>
            <w:right w:val="none" w:sz="0" w:space="0" w:color="auto"/>
          </w:divBdr>
        </w:div>
        <w:div w:id="1390805950">
          <w:marLeft w:val="0"/>
          <w:marRight w:val="0"/>
          <w:marTop w:val="0"/>
          <w:marBottom w:val="0"/>
          <w:divBdr>
            <w:top w:val="none" w:sz="0" w:space="0" w:color="auto"/>
            <w:left w:val="none" w:sz="0" w:space="0" w:color="auto"/>
            <w:bottom w:val="none" w:sz="0" w:space="0" w:color="auto"/>
            <w:right w:val="none" w:sz="0" w:space="0" w:color="auto"/>
          </w:divBdr>
        </w:div>
        <w:div w:id="1400709081">
          <w:marLeft w:val="0"/>
          <w:marRight w:val="0"/>
          <w:marTop w:val="0"/>
          <w:marBottom w:val="0"/>
          <w:divBdr>
            <w:top w:val="none" w:sz="0" w:space="0" w:color="auto"/>
            <w:left w:val="none" w:sz="0" w:space="0" w:color="auto"/>
            <w:bottom w:val="none" w:sz="0" w:space="0" w:color="auto"/>
            <w:right w:val="none" w:sz="0" w:space="0" w:color="auto"/>
          </w:divBdr>
        </w:div>
        <w:div w:id="1415131964">
          <w:marLeft w:val="0"/>
          <w:marRight w:val="0"/>
          <w:marTop w:val="0"/>
          <w:marBottom w:val="0"/>
          <w:divBdr>
            <w:top w:val="none" w:sz="0" w:space="0" w:color="auto"/>
            <w:left w:val="none" w:sz="0" w:space="0" w:color="auto"/>
            <w:bottom w:val="none" w:sz="0" w:space="0" w:color="auto"/>
            <w:right w:val="none" w:sz="0" w:space="0" w:color="auto"/>
          </w:divBdr>
        </w:div>
        <w:div w:id="1569729826">
          <w:marLeft w:val="0"/>
          <w:marRight w:val="0"/>
          <w:marTop w:val="0"/>
          <w:marBottom w:val="0"/>
          <w:divBdr>
            <w:top w:val="none" w:sz="0" w:space="0" w:color="auto"/>
            <w:left w:val="none" w:sz="0" w:space="0" w:color="auto"/>
            <w:bottom w:val="none" w:sz="0" w:space="0" w:color="auto"/>
            <w:right w:val="none" w:sz="0" w:space="0" w:color="auto"/>
          </w:divBdr>
        </w:div>
        <w:div w:id="2030446263">
          <w:marLeft w:val="0"/>
          <w:marRight w:val="0"/>
          <w:marTop w:val="0"/>
          <w:marBottom w:val="0"/>
          <w:divBdr>
            <w:top w:val="none" w:sz="0" w:space="0" w:color="auto"/>
            <w:left w:val="none" w:sz="0" w:space="0" w:color="auto"/>
            <w:bottom w:val="none" w:sz="0" w:space="0" w:color="auto"/>
            <w:right w:val="none" w:sz="0" w:space="0" w:color="auto"/>
          </w:divBdr>
        </w:div>
        <w:div w:id="2060592374">
          <w:marLeft w:val="0"/>
          <w:marRight w:val="0"/>
          <w:marTop w:val="0"/>
          <w:marBottom w:val="0"/>
          <w:divBdr>
            <w:top w:val="none" w:sz="0" w:space="0" w:color="auto"/>
            <w:left w:val="none" w:sz="0" w:space="0" w:color="auto"/>
            <w:bottom w:val="none" w:sz="0" w:space="0" w:color="auto"/>
            <w:right w:val="none" w:sz="0" w:space="0" w:color="auto"/>
          </w:divBdr>
        </w:div>
      </w:divsChild>
    </w:div>
    <w:div w:id="1430152345">
      <w:bodyDiv w:val="1"/>
      <w:marLeft w:val="0"/>
      <w:marRight w:val="0"/>
      <w:marTop w:val="0"/>
      <w:marBottom w:val="0"/>
      <w:divBdr>
        <w:top w:val="none" w:sz="0" w:space="0" w:color="auto"/>
        <w:left w:val="none" w:sz="0" w:space="0" w:color="auto"/>
        <w:bottom w:val="none" w:sz="0" w:space="0" w:color="auto"/>
        <w:right w:val="none" w:sz="0" w:space="0" w:color="auto"/>
      </w:divBdr>
    </w:div>
    <w:div w:id="1536118099">
      <w:bodyDiv w:val="1"/>
      <w:marLeft w:val="0"/>
      <w:marRight w:val="0"/>
      <w:marTop w:val="0"/>
      <w:marBottom w:val="0"/>
      <w:divBdr>
        <w:top w:val="none" w:sz="0" w:space="0" w:color="auto"/>
        <w:left w:val="none" w:sz="0" w:space="0" w:color="auto"/>
        <w:bottom w:val="none" w:sz="0" w:space="0" w:color="auto"/>
        <w:right w:val="none" w:sz="0" w:space="0" w:color="auto"/>
      </w:divBdr>
    </w:div>
    <w:div w:id="1692098355">
      <w:bodyDiv w:val="1"/>
      <w:marLeft w:val="0"/>
      <w:marRight w:val="0"/>
      <w:marTop w:val="0"/>
      <w:marBottom w:val="0"/>
      <w:divBdr>
        <w:top w:val="none" w:sz="0" w:space="0" w:color="auto"/>
        <w:left w:val="none" w:sz="0" w:space="0" w:color="auto"/>
        <w:bottom w:val="none" w:sz="0" w:space="0" w:color="auto"/>
        <w:right w:val="none" w:sz="0" w:space="0" w:color="auto"/>
      </w:divBdr>
    </w:div>
    <w:div w:id="1796220374">
      <w:bodyDiv w:val="1"/>
      <w:marLeft w:val="0"/>
      <w:marRight w:val="0"/>
      <w:marTop w:val="0"/>
      <w:marBottom w:val="0"/>
      <w:divBdr>
        <w:top w:val="none" w:sz="0" w:space="0" w:color="auto"/>
        <w:left w:val="none" w:sz="0" w:space="0" w:color="auto"/>
        <w:bottom w:val="none" w:sz="0" w:space="0" w:color="auto"/>
        <w:right w:val="none" w:sz="0" w:space="0" w:color="auto"/>
      </w:divBdr>
    </w:div>
    <w:div w:id="1966036520">
      <w:bodyDiv w:val="1"/>
      <w:marLeft w:val="0"/>
      <w:marRight w:val="0"/>
      <w:marTop w:val="0"/>
      <w:marBottom w:val="0"/>
      <w:divBdr>
        <w:top w:val="none" w:sz="0" w:space="0" w:color="auto"/>
        <w:left w:val="none" w:sz="0" w:space="0" w:color="auto"/>
        <w:bottom w:val="none" w:sz="0" w:space="0" w:color="auto"/>
        <w:right w:val="none" w:sz="0" w:space="0" w:color="auto"/>
      </w:divBdr>
    </w:div>
    <w:div w:id="20872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B8318-3193-4ED8-9096-467EA1A4A77A}"/>
</file>

<file path=customXml/itemProps2.xml><?xml version="1.0" encoding="utf-8"?>
<ds:datastoreItem xmlns:ds="http://schemas.openxmlformats.org/officeDocument/2006/customXml" ds:itemID="{91107D87-856F-483C-9B6C-53CB02662C56}"/>
</file>

<file path=customXml/itemProps3.xml><?xml version="1.0" encoding="utf-8"?>
<ds:datastoreItem xmlns:ds="http://schemas.openxmlformats.org/officeDocument/2006/customXml" ds:itemID="{4EEFDF55-A043-45BA-B143-0D700EA92EA2}"/>
</file>

<file path=docProps/app.xml><?xml version="1.0" encoding="utf-8"?>
<Properties xmlns="http://schemas.openxmlformats.org/officeDocument/2006/extended-properties" xmlns:vt="http://schemas.openxmlformats.org/officeDocument/2006/docPropsVTypes">
  <Template>Normal.dotm</Template>
  <TotalTime>175</TotalTime>
  <Pages>7</Pages>
  <Words>3223</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STRATEGIC PLANNING DAY</vt:lpstr>
    </vt:vector>
  </TitlesOfParts>
  <Company>Bradley Stoke Town Council</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DAY</dc:title>
  <dc:subject/>
  <dc:creator>HUB6250XV3</dc:creator>
  <cp:keywords/>
  <dc:description/>
  <cp:lastModifiedBy>Sharon Petela</cp:lastModifiedBy>
  <cp:revision>10</cp:revision>
  <cp:lastPrinted>2017-09-12T10:35:00Z</cp:lastPrinted>
  <dcterms:created xsi:type="dcterms:W3CDTF">2017-09-11T16:11:00Z</dcterms:created>
  <dcterms:modified xsi:type="dcterms:W3CDTF">2017-09-12T12:34:00Z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3445200</vt:r8>
  </property>
</Properties>
</file>