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42E" w:rsidRPr="0005642E" w:rsidRDefault="0005642E" w:rsidP="003758E2">
      <w:pPr>
        <w:jc w:val="center"/>
        <w:outlineLvl w:val="0"/>
        <w:rPr>
          <w:b/>
          <w:sz w:val="16"/>
          <w:szCs w:val="16"/>
        </w:rPr>
      </w:pPr>
    </w:p>
    <w:p w:rsidR="004555B0" w:rsidRDefault="004555B0" w:rsidP="003758E2">
      <w:pPr>
        <w:jc w:val="center"/>
        <w:outlineLvl w:val="0"/>
        <w:rPr>
          <w:b/>
          <w:sz w:val="36"/>
          <w:szCs w:val="36"/>
        </w:rPr>
      </w:pPr>
      <w:r w:rsidRPr="004555B0">
        <w:rPr>
          <w:b/>
          <w:sz w:val="36"/>
          <w:szCs w:val="36"/>
        </w:rPr>
        <w:t>Bradley Stoke Town Council</w:t>
      </w:r>
    </w:p>
    <w:p w:rsidR="004555B0" w:rsidRPr="00844AE8" w:rsidRDefault="004555B0" w:rsidP="003758E2">
      <w:pPr>
        <w:jc w:val="center"/>
        <w:outlineLvl w:val="0"/>
        <w:rPr>
          <w:b/>
          <w:sz w:val="16"/>
          <w:szCs w:val="16"/>
        </w:rPr>
      </w:pPr>
    </w:p>
    <w:p w:rsidR="00A0759A" w:rsidRPr="00CA2D23" w:rsidRDefault="007C5D88" w:rsidP="003758E2">
      <w:pPr>
        <w:jc w:val="center"/>
        <w:outlineLvl w:val="0"/>
        <w:rPr>
          <w:b/>
          <w:sz w:val="32"/>
          <w:szCs w:val="32"/>
          <w:u w:val="single"/>
        </w:rPr>
      </w:pPr>
      <w:r w:rsidRPr="00CA2D23">
        <w:rPr>
          <w:b/>
          <w:sz w:val="32"/>
          <w:szCs w:val="32"/>
          <w:u w:val="single"/>
        </w:rPr>
        <w:t xml:space="preserve">STRATEGIC PLANNING </w:t>
      </w:r>
      <w:r w:rsidR="00BE3513" w:rsidRPr="00CA2D23">
        <w:rPr>
          <w:b/>
          <w:sz w:val="32"/>
          <w:szCs w:val="32"/>
          <w:u w:val="single"/>
        </w:rPr>
        <w:t>MEETING</w:t>
      </w:r>
      <w:r w:rsidR="004555B0" w:rsidRPr="00CA2D23">
        <w:rPr>
          <w:b/>
          <w:sz w:val="32"/>
          <w:szCs w:val="32"/>
          <w:u w:val="single"/>
        </w:rPr>
        <w:t xml:space="preserve"> – </w:t>
      </w:r>
      <w:r w:rsidR="00F65F74">
        <w:rPr>
          <w:b/>
          <w:sz w:val="32"/>
          <w:szCs w:val="32"/>
          <w:u w:val="single"/>
        </w:rPr>
        <w:t>5</w:t>
      </w:r>
      <w:r w:rsidR="004555B0" w:rsidRPr="00CA2D23">
        <w:rPr>
          <w:b/>
          <w:sz w:val="32"/>
          <w:szCs w:val="32"/>
          <w:u w:val="single"/>
          <w:vertAlign w:val="superscript"/>
        </w:rPr>
        <w:t>th</w:t>
      </w:r>
      <w:r w:rsidR="004555B0" w:rsidRPr="00CA2D23">
        <w:rPr>
          <w:b/>
          <w:sz w:val="32"/>
          <w:szCs w:val="32"/>
          <w:u w:val="single"/>
        </w:rPr>
        <w:t xml:space="preserve"> September 201</w:t>
      </w:r>
      <w:r w:rsidR="00F65F74">
        <w:rPr>
          <w:b/>
          <w:sz w:val="32"/>
          <w:szCs w:val="32"/>
          <w:u w:val="single"/>
        </w:rPr>
        <w:t>6</w:t>
      </w:r>
    </w:p>
    <w:p w:rsidR="004555B0" w:rsidRDefault="004555B0" w:rsidP="007C5D88">
      <w:pPr>
        <w:jc w:val="center"/>
        <w:rPr>
          <w:b/>
          <w:u w:val="single"/>
        </w:rPr>
      </w:pPr>
    </w:p>
    <w:p w:rsidR="00F65F74" w:rsidRDefault="004555B0" w:rsidP="007C5D88">
      <w:r w:rsidRPr="001C4B94">
        <w:rPr>
          <w:b/>
        </w:rPr>
        <w:t>Present:</w:t>
      </w:r>
      <w:r w:rsidRPr="001C4B94">
        <w:rPr>
          <w:b/>
        </w:rPr>
        <w:tab/>
        <w:t>Councillors:</w:t>
      </w:r>
      <w:r w:rsidR="006601CF" w:rsidRPr="001C4B94">
        <w:rPr>
          <w:b/>
        </w:rPr>
        <w:tab/>
      </w:r>
      <w:r w:rsidR="00F65F74">
        <w:t>Elaine Hardwick (Chair)</w:t>
      </w:r>
    </w:p>
    <w:p w:rsidR="0005642E" w:rsidRPr="001C4B94" w:rsidRDefault="00E5735E" w:rsidP="00F65F74">
      <w:pPr>
        <w:ind w:left="2160" w:firstLine="720"/>
      </w:pPr>
      <w:r w:rsidRPr="001C4B94">
        <w:t xml:space="preserve">Paul </w:t>
      </w:r>
      <w:r w:rsidR="0005642E" w:rsidRPr="001C4B94">
        <w:t>Hardwick</w:t>
      </w:r>
    </w:p>
    <w:p w:rsidR="00F65F74" w:rsidRDefault="0005642E" w:rsidP="007C5D88">
      <w:r w:rsidRPr="001C4B94">
        <w:tab/>
      </w:r>
      <w:r w:rsidRPr="001C4B94">
        <w:tab/>
      </w:r>
      <w:r w:rsidRPr="001C4B94">
        <w:tab/>
      </w:r>
      <w:r w:rsidRPr="001C4B94">
        <w:tab/>
      </w:r>
      <w:r w:rsidR="00F65F74">
        <w:t>Franklin Owusu-Antwi</w:t>
      </w:r>
    </w:p>
    <w:p w:rsidR="004555B0" w:rsidRPr="001C4B94" w:rsidRDefault="00E5735E" w:rsidP="00F65F74">
      <w:pPr>
        <w:ind w:left="2160" w:firstLine="720"/>
      </w:pPr>
      <w:r w:rsidRPr="001C4B94">
        <w:t>Ben Randles</w:t>
      </w:r>
    </w:p>
    <w:p w:rsidR="0005642E" w:rsidRPr="001C4B94" w:rsidRDefault="0005642E" w:rsidP="007C5D88">
      <w:r w:rsidRPr="001C4B94">
        <w:tab/>
      </w:r>
      <w:r w:rsidRPr="001C4B94">
        <w:tab/>
      </w:r>
      <w:r w:rsidRPr="001C4B94">
        <w:tab/>
      </w:r>
      <w:r w:rsidRPr="001C4B94">
        <w:tab/>
        <w:t>Andy Ward</w:t>
      </w:r>
    </w:p>
    <w:p w:rsidR="004555B0" w:rsidRPr="001C4B94" w:rsidRDefault="0030377A" w:rsidP="007C5D88">
      <w:pPr>
        <w:rPr>
          <w:b/>
        </w:rPr>
      </w:pPr>
      <w:r w:rsidRPr="001C4B94">
        <w:tab/>
      </w:r>
      <w:r w:rsidRPr="001C4B94">
        <w:tab/>
      </w:r>
      <w:r w:rsidRPr="001C4B94">
        <w:tab/>
      </w:r>
      <w:r w:rsidRPr="001C4B94">
        <w:tab/>
      </w:r>
    </w:p>
    <w:p w:rsidR="004555B0" w:rsidRPr="001C4B94" w:rsidRDefault="004555B0" w:rsidP="007C5D88">
      <w:r w:rsidRPr="001C4B94">
        <w:rPr>
          <w:b/>
        </w:rPr>
        <w:tab/>
      </w:r>
      <w:r w:rsidRPr="001C4B94">
        <w:rPr>
          <w:b/>
        </w:rPr>
        <w:tab/>
        <w:t>Officers:</w:t>
      </w:r>
      <w:r w:rsidRPr="001C4B94">
        <w:rPr>
          <w:b/>
        </w:rPr>
        <w:tab/>
      </w:r>
      <w:r w:rsidRPr="001C4B94">
        <w:t>Sharon Petela (Town Clerk)</w:t>
      </w:r>
    </w:p>
    <w:p w:rsidR="004555B0" w:rsidRPr="001C4B94" w:rsidRDefault="004555B0" w:rsidP="007C5D88">
      <w:r w:rsidRPr="001C4B94">
        <w:tab/>
      </w:r>
      <w:r w:rsidRPr="001C4B94">
        <w:tab/>
      </w:r>
      <w:r w:rsidRPr="001C4B94">
        <w:tab/>
      </w:r>
      <w:r w:rsidRPr="001C4B94">
        <w:tab/>
        <w:t>Rachel Pullen (RFO/Finance Manager)</w:t>
      </w:r>
    </w:p>
    <w:p w:rsidR="004555B0" w:rsidRPr="001C4B94" w:rsidRDefault="004555B0" w:rsidP="007C5D88">
      <w:r w:rsidRPr="001C4B94">
        <w:tab/>
      </w:r>
      <w:r w:rsidRPr="001C4B94">
        <w:tab/>
      </w:r>
      <w:r w:rsidRPr="001C4B94">
        <w:tab/>
      </w:r>
      <w:r w:rsidRPr="001C4B94">
        <w:tab/>
        <w:t>John Rendell (Deputy Town Clerk/Premises Manager)</w:t>
      </w:r>
    </w:p>
    <w:p w:rsidR="00E5735E" w:rsidRPr="001C4B94" w:rsidRDefault="00E5735E" w:rsidP="007C5D88">
      <w:r w:rsidRPr="001C4B94">
        <w:tab/>
      </w:r>
      <w:r w:rsidRPr="001C4B94">
        <w:tab/>
      </w:r>
      <w:r w:rsidRPr="001C4B94">
        <w:tab/>
      </w:r>
      <w:r w:rsidRPr="001C4B94">
        <w:tab/>
        <w:t>Graham Baker (Youth Participation &amp; Development Worker)</w:t>
      </w:r>
    </w:p>
    <w:p w:rsidR="004555B0" w:rsidRPr="004555B0" w:rsidRDefault="004555B0" w:rsidP="007C5D88"/>
    <w:p w:rsidR="00441A61" w:rsidRDefault="00441A61" w:rsidP="004555B0">
      <w:pPr>
        <w:pStyle w:val="NormalWeb"/>
        <w:spacing w:before="0" w:beforeAutospacing="0" w:after="0" w:afterAutospacing="0"/>
        <w:jc w:val="both"/>
        <w:rPr>
          <w:b/>
        </w:rPr>
      </w:pPr>
    </w:p>
    <w:p w:rsidR="00441A61" w:rsidRPr="00441A61" w:rsidRDefault="00441A61" w:rsidP="004555B0">
      <w:pPr>
        <w:pStyle w:val="NormalWeb"/>
        <w:spacing w:before="0" w:beforeAutospacing="0" w:after="0" w:afterAutospacing="0"/>
        <w:jc w:val="both"/>
        <w:rPr>
          <w:b/>
        </w:rPr>
      </w:pPr>
      <w:r w:rsidRPr="00441A61">
        <w:rPr>
          <w:b/>
        </w:rPr>
        <w:t>WELCOME &amp; INTRODUCTION</w:t>
      </w:r>
    </w:p>
    <w:p w:rsidR="00441A61" w:rsidRPr="00E5735E" w:rsidRDefault="00441A61" w:rsidP="004555B0">
      <w:pPr>
        <w:pStyle w:val="NormalWeb"/>
        <w:spacing w:before="0" w:beforeAutospacing="0" w:after="0" w:afterAutospacing="0"/>
        <w:jc w:val="both"/>
        <w:rPr>
          <w:sz w:val="16"/>
          <w:szCs w:val="16"/>
        </w:rPr>
      </w:pPr>
    </w:p>
    <w:p w:rsidR="004555B0" w:rsidRDefault="004555B0" w:rsidP="00E5735E">
      <w:pPr>
        <w:pStyle w:val="NormalWeb"/>
        <w:spacing w:before="0" w:beforeAutospacing="0" w:after="0" w:afterAutospacing="0"/>
        <w:ind w:left="720"/>
        <w:jc w:val="both"/>
      </w:pPr>
      <w:r>
        <w:t xml:space="preserve">Councillor </w:t>
      </w:r>
      <w:r w:rsidR="00F65F74">
        <w:t xml:space="preserve">Elaine Hardwick </w:t>
      </w:r>
      <w:r>
        <w:t>welcomed everyone to the informal meeting</w:t>
      </w:r>
      <w:r w:rsidR="00E5735E">
        <w:t xml:space="preserve"> and asked the </w:t>
      </w:r>
      <w:r w:rsidR="0030377A">
        <w:t xml:space="preserve">RFO </w:t>
      </w:r>
      <w:r w:rsidR="00E5735E">
        <w:t xml:space="preserve">to </w:t>
      </w:r>
      <w:r w:rsidR="008A5871">
        <w:t>explain</w:t>
      </w:r>
      <w:r w:rsidR="00E5735E">
        <w:t xml:space="preserve"> </w:t>
      </w:r>
      <w:r>
        <w:t>how strategic planning impacts on the running of the town council.</w:t>
      </w:r>
    </w:p>
    <w:p w:rsidR="004555B0" w:rsidRPr="00844AE8" w:rsidRDefault="004555B0" w:rsidP="004555B0">
      <w:pPr>
        <w:pStyle w:val="NormalWeb"/>
        <w:spacing w:before="0" w:beforeAutospacing="0" w:after="0" w:afterAutospacing="0"/>
        <w:jc w:val="both"/>
        <w:rPr>
          <w:sz w:val="16"/>
          <w:szCs w:val="16"/>
        </w:rPr>
      </w:pPr>
    </w:p>
    <w:p w:rsidR="00441A61" w:rsidRDefault="00441A61" w:rsidP="004555B0">
      <w:pPr>
        <w:pStyle w:val="NormalWeb"/>
        <w:spacing w:before="0" w:beforeAutospacing="0" w:after="0" w:afterAutospacing="0"/>
        <w:jc w:val="both"/>
      </w:pPr>
      <w:r>
        <w:tab/>
      </w:r>
      <w:r w:rsidR="004555B0" w:rsidRPr="004555B0">
        <w:t xml:space="preserve">Strategic Planning is Council's process of defining its forward strategy or direction, and </w:t>
      </w:r>
      <w:r>
        <w:tab/>
      </w:r>
      <w:r w:rsidR="004555B0" w:rsidRPr="004555B0">
        <w:t xml:space="preserve">making decisions on allocating its resources to pursue this strategy, including its capital </w:t>
      </w:r>
      <w:r>
        <w:tab/>
      </w:r>
      <w:r w:rsidR="004555B0" w:rsidRPr="004555B0">
        <w:t xml:space="preserve">and </w:t>
      </w:r>
      <w:r w:rsidRPr="004555B0">
        <w:t>people. This</w:t>
      </w:r>
      <w:r w:rsidR="004555B0" w:rsidRPr="004555B0">
        <w:t xml:space="preserve"> is a process for determining where an organisation is going over the next </w:t>
      </w:r>
      <w:r>
        <w:tab/>
      </w:r>
      <w:r w:rsidR="004555B0" w:rsidRPr="004555B0">
        <w:t xml:space="preserve">year or more typically 5 years (long term). </w:t>
      </w:r>
    </w:p>
    <w:p w:rsidR="00441A61" w:rsidRPr="00844AE8" w:rsidRDefault="00441A61" w:rsidP="004555B0">
      <w:pPr>
        <w:pStyle w:val="NormalWeb"/>
        <w:spacing w:before="0" w:beforeAutospacing="0" w:after="0" w:afterAutospacing="0"/>
        <w:jc w:val="both"/>
        <w:rPr>
          <w:sz w:val="16"/>
          <w:szCs w:val="16"/>
        </w:rPr>
      </w:pPr>
    </w:p>
    <w:p w:rsidR="004555B0" w:rsidRPr="004555B0" w:rsidRDefault="00441A61" w:rsidP="004555B0">
      <w:pPr>
        <w:pStyle w:val="NormalWeb"/>
        <w:spacing w:before="0" w:beforeAutospacing="0" w:after="0" w:afterAutospacing="0"/>
        <w:jc w:val="both"/>
      </w:pPr>
      <w:r>
        <w:tab/>
      </w:r>
      <w:r w:rsidR="004555B0" w:rsidRPr="004555B0">
        <w:t xml:space="preserve">In order to determine where it is going, council needs to know exactly where it stands, then </w:t>
      </w:r>
      <w:r>
        <w:tab/>
      </w:r>
      <w:r w:rsidR="004555B0" w:rsidRPr="004555B0">
        <w:t xml:space="preserve">determine where it wants to go and how it will get there. </w:t>
      </w:r>
    </w:p>
    <w:p w:rsidR="00441A61" w:rsidRPr="00844AE8" w:rsidRDefault="00441A61" w:rsidP="004555B0">
      <w:pPr>
        <w:pStyle w:val="NormalWeb"/>
        <w:spacing w:before="0" w:beforeAutospacing="0" w:after="0" w:afterAutospacing="0"/>
        <w:jc w:val="both"/>
        <w:rPr>
          <w:sz w:val="16"/>
          <w:szCs w:val="16"/>
        </w:rPr>
      </w:pPr>
    </w:p>
    <w:p w:rsidR="004555B0" w:rsidRPr="004555B0" w:rsidRDefault="00441A61" w:rsidP="004555B0">
      <w:pPr>
        <w:pStyle w:val="NormalWeb"/>
        <w:spacing w:before="0" w:beforeAutospacing="0" w:after="0" w:afterAutospacing="0"/>
        <w:jc w:val="both"/>
      </w:pPr>
      <w:r>
        <w:tab/>
      </w:r>
      <w:r w:rsidR="004555B0" w:rsidRPr="004555B0">
        <w:t xml:space="preserve">The results then feed directly into </w:t>
      </w:r>
    </w:p>
    <w:p w:rsidR="004555B0" w:rsidRPr="004555B0" w:rsidRDefault="00441A61" w:rsidP="004555B0">
      <w:pPr>
        <w:pStyle w:val="NormalWeb"/>
        <w:spacing w:before="0" w:beforeAutospacing="0" w:after="0" w:afterAutospacing="0"/>
        <w:ind w:left="720" w:hanging="720"/>
        <w:jc w:val="both"/>
      </w:pPr>
      <w:r>
        <w:tab/>
      </w:r>
      <w:r w:rsidR="004555B0" w:rsidRPr="004555B0">
        <w:t>1.</w:t>
      </w:r>
      <w:r w:rsidR="004555B0" w:rsidRPr="004555B0">
        <w:tab/>
        <w:t>Future budgets</w:t>
      </w:r>
      <w:r w:rsidR="004555B0">
        <w:t xml:space="preserve">: </w:t>
      </w:r>
      <w:r w:rsidR="004555B0" w:rsidRPr="004555B0">
        <w:t>Council will be establishing the 201</w:t>
      </w:r>
      <w:r w:rsidR="00F65F74">
        <w:t>7</w:t>
      </w:r>
      <w:r w:rsidR="004555B0" w:rsidRPr="004555B0">
        <w:t>/1</w:t>
      </w:r>
      <w:r w:rsidR="00F65F74">
        <w:t>8</w:t>
      </w:r>
      <w:r w:rsidR="004555B0" w:rsidRPr="004555B0">
        <w:t xml:space="preserve"> budget from</w:t>
      </w:r>
      <w:r w:rsidR="004555B0">
        <w:t xml:space="preserve"> </w:t>
      </w:r>
      <w:r w:rsidR="004555B0" w:rsidRPr="004555B0">
        <w:t>October 201</w:t>
      </w:r>
      <w:r w:rsidR="00F65F74">
        <w:t>6</w:t>
      </w:r>
      <w:r w:rsidR="004555B0" w:rsidRPr="004555B0">
        <w:t xml:space="preserve"> </w:t>
      </w:r>
      <w:r w:rsidR="004555B0">
        <w:tab/>
      </w:r>
      <w:r w:rsidR="004555B0" w:rsidRPr="004555B0">
        <w:t>for final approval in January 201</w:t>
      </w:r>
      <w:r w:rsidR="00F65F74">
        <w:t>7</w:t>
      </w:r>
      <w:r w:rsidR="004555B0" w:rsidRPr="004555B0">
        <w:t>.</w:t>
      </w:r>
    </w:p>
    <w:p w:rsidR="004555B0" w:rsidRPr="004555B0" w:rsidRDefault="00441A61" w:rsidP="004555B0">
      <w:pPr>
        <w:pStyle w:val="NormalWeb"/>
        <w:spacing w:before="0" w:beforeAutospacing="0" w:after="0" w:afterAutospacing="0"/>
        <w:ind w:left="720" w:hanging="720"/>
        <w:jc w:val="both"/>
      </w:pPr>
      <w:r>
        <w:tab/>
      </w:r>
      <w:r w:rsidR="004555B0" w:rsidRPr="004555B0">
        <w:t>2.</w:t>
      </w:r>
      <w:r w:rsidR="004555B0" w:rsidRPr="004555B0">
        <w:tab/>
        <w:t>Forward Plan</w:t>
      </w:r>
      <w:r w:rsidR="004555B0">
        <w:t>:</w:t>
      </w:r>
      <w:r w:rsidR="004555B0" w:rsidRPr="004555B0">
        <w:tab/>
        <w:t>Council review the updated Forward Plan in January 201</w:t>
      </w:r>
      <w:r w:rsidR="00F65F74">
        <w:t>7</w:t>
      </w:r>
      <w:r w:rsidR="004555B0">
        <w:t xml:space="preserve"> </w:t>
      </w:r>
      <w:r w:rsidR="004555B0" w:rsidRPr="004555B0">
        <w:t xml:space="preserve">for final </w:t>
      </w:r>
      <w:r>
        <w:tab/>
      </w:r>
      <w:r w:rsidR="004555B0" w:rsidRPr="004555B0">
        <w:t>approval in March 201</w:t>
      </w:r>
      <w:r w:rsidR="00F65F74">
        <w:t>7</w:t>
      </w:r>
      <w:r w:rsidR="004555B0" w:rsidRPr="004555B0">
        <w:t xml:space="preserve"> – this includes the 5 year rolling budget.</w:t>
      </w:r>
    </w:p>
    <w:p w:rsidR="004555B0" w:rsidRDefault="004555B0" w:rsidP="007C5D88">
      <w:pPr>
        <w:rPr>
          <w:b/>
        </w:rPr>
      </w:pPr>
    </w:p>
    <w:p w:rsidR="00441A61" w:rsidRDefault="00441A61" w:rsidP="007C5D88">
      <w:pPr>
        <w:rPr>
          <w:b/>
        </w:rPr>
      </w:pPr>
    </w:p>
    <w:p w:rsidR="00441A61" w:rsidRDefault="00441A61" w:rsidP="007C5D88">
      <w:pPr>
        <w:rPr>
          <w:b/>
        </w:rPr>
      </w:pPr>
      <w:r>
        <w:rPr>
          <w:b/>
        </w:rPr>
        <w:t>1.</w:t>
      </w:r>
      <w:r>
        <w:rPr>
          <w:b/>
        </w:rPr>
        <w:tab/>
        <w:t>APOLOGIES</w:t>
      </w:r>
    </w:p>
    <w:p w:rsidR="00441A61" w:rsidRPr="00E5735E" w:rsidRDefault="00441A61" w:rsidP="007C5D88">
      <w:pPr>
        <w:rPr>
          <w:b/>
          <w:sz w:val="16"/>
          <w:szCs w:val="16"/>
        </w:rPr>
      </w:pPr>
      <w:r>
        <w:rPr>
          <w:b/>
        </w:rPr>
        <w:tab/>
      </w:r>
    </w:p>
    <w:p w:rsidR="00441A61" w:rsidRPr="00441A61" w:rsidRDefault="00441A61" w:rsidP="00E5735E">
      <w:pPr>
        <w:ind w:left="720"/>
        <w:jc w:val="both"/>
      </w:pPr>
      <w:r w:rsidRPr="00441A61">
        <w:t xml:space="preserve">Apologies have been received from Councillors </w:t>
      </w:r>
      <w:r w:rsidR="00F65F74">
        <w:t xml:space="preserve">Tom Aditya, </w:t>
      </w:r>
      <w:r w:rsidR="0030377A">
        <w:t>John Ashe</w:t>
      </w:r>
      <w:r w:rsidR="00F65F74">
        <w:t xml:space="preserve">, Gurmit Gupta, Daniel </w:t>
      </w:r>
      <w:r w:rsidR="0030377A">
        <w:t>H</w:t>
      </w:r>
      <w:r w:rsidR="00E5735E">
        <w:t>ardwick</w:t>
      </w:r>
      <w:r w:rsidR="00F65F74">
        <w:t>, and Marion Ward</w:t>
      </w:r>
      <w:r w:rsidRPr="00441A61">
        <w:t>.</w:t>
      </w:r>
    </w:p>
    <w:p w:rsidR="00441A61" w:rsidRDefault="00441A61" w:rsidP="00441A61">
      <w:pPr>
        <w:jc w:val="both"/>
        <w:rPr>
          <w:b/>
        </w:rPr>
      </w:pPr>
    </w:p>
    <w:p w:rsidR="00441A61" w:rsidRDefault="00441A61" w:rsidP="00441A61">
      <w:pPr>
        <w:jc w:val="both"/>
        <w:rPr>
          <w:b/>
        </w:rPr>
      </w:pPr>
    </w:p>
    <w:p w:rsidR="00441A61" w:rsidRDefault="00441A61" w:rsidP="00441A61">
      <w:pPr>
        <w:jc w:val="both"/>
        <w:rPr>
          <w:b/>
        </w:rPr>
      </w:pPr>
      <w:r>
        <w:rPr>
          <w:b/>
        </w:rPr>
        <w:t>2.</w:t>
      </w:r>
      <w:r>
        <w:rPr>
          <w:b/>
        </w:rPr>
        <w:tab/>
        <w:t>STRATEGIC PLANNING</w:t>
      </w:r>
    </w:p>
    <w:p w:rsidR="00441A61" w:rsidRDefault="00441A61" w:rsidP="00441A61">
      <w:pPr>
        <w:jc w:val="both"/>
        <w:rPr>
          <w:b/>
        </w:rPr>
      </w:pPr>
    </w:p>
    <w:p w:rsidR="007C5D88" w:rsidRDefault="007C5D88" w:rsidP="00441A61">
      <w:pPr>
        <w:numPr>
          <w:ilvl w:val="1"/>
          <w:numId w:val="1"/>
        </w:numPr>
        <w:tabs>
          <w:tab w:val="clear" w:pos="720"/>
          <w:tab w:val="num" w:pos="0"/>
        </w:tabs>
        <w:ind w:firstLine="0"/>
        <w:rPr>
          <w:b/>
        </w:rPr>
      </w:pPr>
      <w:r>
        <w:rPr>
          <w:b/>
        </w:rPr>
        <w:t>CURRENT POSITION</w:t>
      </w:r>
    </w:p>
    <w:p w:rsidR="00BA64B1" w:rsidRPr="00E5735E" w:rsidRDefault="00BA64B1" w:rsidP="00BA64B1">
      <w:pPr>
        <w:ind w:left="-720"/>
        <w:rPr>
          <w:b/>
          <w:sz w:val="16"/>
          <w:szCs w:val="16"/>
        </w:rPr>
      </w:pPr>
    </w:p>
    <w:p w:rsidR="00BE3513" w:rsidRPr="00CA2D23" w:rsidRDefault="00BE3513" w:rsidP="004E6B80">
      <w:pPr>
        <w:ind w:left="1440"/>
        <w:jc w:val="both"/>
      </w:pPr>
      <w:r>
        <w:t xml:space="preserve">Councillors reviewed the draft 5 Year Budget Plan (as at </w:t>
      </w:r>
      <w:r w:rsidR="00F65F74">
        <w:t>31</w:t>
      </w:r>
      <w:r w:rsidR="00F65F74" w:rsidRPr="00F65F74">
        <w:rPr>
          <w:vertAlign w:val="superscript"/>
        </w:rPr>
        <w:t>st</w:t>
      </w:r>
      <w:r w:rsidR="00F65F74">
        <w:t xml:space="preserve"> July 2016</w:t>
      </w:r>
      <w:r>
        <w:t>) (see Appendix A</w:t>
      </w:r>
      <w:r w:rsidR="0035746D">
        <w:t xml:space="preserve"> for Summary</w:t>
      </w:r>
      <w:r>
        <w:t xml:space="preserve">). </w:t>
      </w:r>
      <w:r w:rsidR="004E6B80">
        <w:t xml:space="preserve">RFO Rachel Pullen outlined the current position with respect to </w:t>
      </w:r>
      <w:r w:rsidR="004A0F6A">
        <w:t xml:space="preserve">the </w:t>
      </w:r>
      <w:r w:rsidR="004E6B80">
        <w:t xml:space="preserve">budget and the Forward Plan. </w:t>
      </w:r>
    </w:p>
    <w:p w:rsidR="003D4ECB" w:rsidRDefault="003D4ECB" w:rsidP="00322123">
      <w:pPr>
        <w:rPr>
          <w:b/>
          <w:i/>
        </w:rPr>
      </w:pPr>
    </w:p>
    <w:p w:rsidR="001C4B94" w:rsidRDefault="001C4B94" w:rsidP="00322123">
      <w:pPr>
        <w:rPr>
          <w:b/>
          <w:i/>
        </w:rPr>
      </w:pPr>
    </w:p>
    <w:p w:rsidR="001C4B94" w:rsidRDefault="001C4B94" w:rsidP="00322123">
      <w:pPr>
        <w:rPr>
          <w:b/>
          <w:i/>
        </w:rPr>
      </w:pPr>
    </w:p>
    <w:p w:rsidR="001C4B94" w:rsidRDefault="001C4B94" w:rsidP="00322123">
      <w:pPr>
        <w:rPr>
          <w:b/>
          <w:i/>
        </w:rPr>
      </w:pPr>
    </w:p>
    <w:p w:rsidR="001C4B94" w:rsidRDefault="001C4B94" w:rsidP="00322123">
      <w:pPr>
        <w:rPr>
          <w:b/>
          <w:i/>
        </w:rPr>
      </w:pPr>
    </w:p>
    <w:p w:rsidR="001C4B94" w:rsidRDefault="001C4B94" w:rsidP="00322123">
      <w:pPr>
        <w:rPr>
          <w:b/>
          <w:i/>
        </w:rPr>
      </w:pPr>
    </w:p>
    <w:p w:rsidR="006B7016" w:rsidRDefault="006B7016" w:rsidP="006B7016">
      <w:pPr>
        <w:ind w:left="2160" w:hanging="1440"/>
        <w:jc w:val="both"/>
        <w:rPr>
          <w:b/>
        </w:rPr>
      </w:pPr>
      <w:r w:rsidRPr="00BA64B1">
        <w:rPr>
          <w:b/>
        </w:rPr>
        <w:t>2.2</w:t>
      </w:r>
      <w:r>
        <w:rPr>
          <w:b/>
        </w:rPr>
        <w:t xml:space="preserve"> – 2.4 FUTURE DIRECTION + ACHIEVING OBJECTIVES + BUDGET IMPACT</w:t>
      </w:r>
    </w:p>
    <w:p w:rsidR="00CA0946" w:rsidRDefault="00CA0946" w:rsidP="00DF6FDA"/>
    <w:p w:rsidR="00DF6FDA" w:rsidRPr="001C4B94" w:rsidRDefault="002B0D33" w:rsidP="00CA0946">
      <w:pPr>
        <w:rPr>
          <w:b/>
          <w:u w:val="single"/>
        </w:rPr>
      </w:pPr>
      <w:r w:rsidRPr="004E6B80">
        <w:tab/>
      </w:r>
      <w:r w:rsidRPr="004E6B80">
        <w:tab/>
      </w:r>
      <w:r w:rsidR="00CA465A">
        <w:rPr>
          <w:b/>
          <w:u w:val="single"/>
        </w:rPr>
        <w:t>New Kitchen at Baileys Court Activity Centre</w:t>
      </w:r>
      <w:r w:rsidR="008901F8">
        <w:rPr>
          <w:b/>
          <w:u w:val="single"/>
        </w:rPr>
        <w:t xml:space="preserve"> (N/C</w:t>
      </w:r>
      <w:r w:rsidR="00B05AC1">
        <w:rPr>
          <w:b/>
          <w:u w:val="single"/>
        </w:rPr>
        <w:t xml:space="preserve"> </w:t>
      </w:r>
      <w:r w:rsidR="008901F8">
        <w:rPr>
          <w:b/>
          <w:u w:val="single"/>
        </w:rPr>
        <w:t>30</w:t>
      </w:r>
      <w:r w:rsidR="00CA465A">
        <w:rPr>
          <w:b/>
          <w:u w:val="single"/>
        </w:rPr>
        <w:t>1</w:t>
      </w:r>
      <w:r w:rsidR="008901F8">
        <w:rPr>
          <w:b/>
          <w:u w:val="single"/>
        </w:rPr>
        <w:t xml:space="preserve">2) </w:t>
      </w:r>
    </w:p>
    <w:p w:rsidR="00590EF7" w:rsidRPr="00205E41" w:rsidRDefault="00590EF7" w:rsidP="00844AE8">
      <w:pPr>
        <w:ind w:left="1440"/>
        <w:jc w:val="both"/>
        <w:rPr>
          <w:b/>
          <w:sz w:val="16"/>
          <w:szCs w:val="16"/>
          <w:u w:val="single"/>
        </w:rPr>
      </w:pPr>
    </w:p>
    <w:p w:rsidR="00CA465A" w:rsidRPr="00CA465A" w:rsidRDefault="00CA465A" w:rsidP="00CA465A">
      <w:pPr>
        <w:ind w:left="720" w:firstLine="720"/>
        <w:rPr>
          <w:szCs w:val="20"/>
          <w:lang w:eastAsia="en-US"/>
        </w:rPr>
      </w:pPr>
      <w:r w:rsidRPr="00CA465A">
        <w:rPr>
          <w:szCs w:val="20"/>
          <w:lang w:eastAsia="en-US"/>
        </w:rPr>
        <w:t>Extract from draft Full Council minutes – 20</w:t>
      </w:r>
      <w:r w:rsidRPr="00CA465A">
        <w:rPr>
          <w:szCs w:val="20"/>
          <w:vertAlign w:val="superscript"/>
          <w:lang w:eastAsia="en-US"/>
        </w:rPr>
        <w:t>th</w:t>
      </w:r>
      <w:r w:rsidRPr="00CA465A">
        <w:rPr>
          <w:szCs w:val="20"/>
          <w:lang w:eastAsia="en-US"/>
        </w:rPr>
        <w:t xml:space="preserve"> July 2016</w:t>
      </w:r>
    </w:p>
    <w:p w:rsidR="00CA465A" w:rsidRPr="00CA465A" w:rsidRDefault="00CA465A" w:rsidP="00CA465A">
      <w:pPr>
        <w:rPr>
          <w:szCs w:val="20"/>
          <w:lang w:eastAsia="en-US"/>
        </w:rPr>
      </w:pPr>
    </w:p>
    <w:p w:rsidR="00CA465A" w:rsidRPr="00CA465A" w:rsidRDefault="00CA465A" w:rsidP="00CA465A">
      <w:pPr>
        <w:ind w:left="698" w:firstLine="720"/>
        <w:jc w:val="both"/>
        <w:rPr>
          <w:b/>
          <w:i/>
          <w:sz w:val="16"/>
          <w:szCs w:val="16"/>
          <w:lang w:eastAsia="en-US"/>
        </w:rPr>
      </w:pPr>
      <w:r w:rsidRPr="00CA465A">
        <w:rPr>
          <w:b/>
          <w:i/>
          <w:sz w:val="16"/>
          <w:szCs w:val="16"/>
          <w:lang w:val="en-US" w:eastAsia="en-US"/>
        </w:rPr>
        <w:t>11.2</w:t>
      </w:r>
      <w:r w:rsidRPr="00CA465A">
        <w:rPr>
          <w:b/>
          <w:i/>
          <w:sz w:val="16"/>
          <w:szCs w:val="16"/>
          <w:lang w:val="en-US" w:eastAsia="en-US"/>
        </w:rPr>
        <w:tab/>
        <w:t>Possible Extension to kitchen at Baileys Court Activity Centre</w:t>
      </w:r>
    </w:p>
    <w:p w:rsidR="00CA465A" w:rsidRPr="00CA465A" w:rsidRDefault="00CA465A" w:rsidP="00CA465A">
      <w:pPr>
        <w:ind w:firstLine="720"/>
        <w:jc w:val="both"/>
        <w:rPr>
          <w:b/>
          <w:i/>
          <w:sz w:val="16"/>
          <w:szCs w:val="16"/>
          <w:lang w:val="en-US" w:eastAsia="en-US"/>
        </w:rPr>
      </w:pPr>
    </w:p>
    <w:p w:rsidR="00CA465A" w:rsidRPr="00CA465A" w:rsidRDefault="00CA465A" w:rsidP="00CA465A">
      <w:pPr>
        <w:ind w:left="1418" w:right="2"/>
        <w:jc w:val="both"/>
        <w:rPr>
          <w:i/>
          <w:sz w:val="16"/>
          <w:szCs w:val="16"/>
          <w:lang w:eastAsia="en-US"/>
        </w:rPr>
      </w:pPr>
      <w:r w:rsidRPr="00CA465A">
        <w:rPr>
          <w:i/>
          <w:sz w:val="16"/>
          <w:szCs w:val="16"/>
          <w:lang w:eastAsia="en-US"/>
        </w:rPr>
        <w:t>The Chair, Councillor Elaine Hardwick explained that, she had been approached by the Bowls Club to see if the kitchen adjacent to the Orchard Room could be extended as it is too small for two groups to use at the same time.  John Rendell, Premises Manager explained that both resident clubs (Bowls &amp; Cricket Club) operate during the summer months and have done so for a number of years, although the club (Orchard) room is not a large size it’s just about big enough to hold both functions on any given day due to the way we run operations on match days, the kitchen however is miniscule and far too small to accommodate both clubs preparing for teas where often they have need to prepare at the same times.</w:t>
      </w:r>
      <w:r w:rsidR="003F4142">
        <w:rPr>
          <w:i/>
          <w:sz w:val="16"/>
          <w:szCs w:val="16"/>
          <w:lang w:eastAsia="en-US"/>
        </w:rPr>
        <w:t xml:space="preserve"> </w:t>
      </w:r>
      <w:r w:rsidRPr="00CA465A">
        <w:rPr>
          <w:i/>
          <w:sz w:val="16"/>
          <w:szCs w:val="16"/>
          <w:lang w:eastAsia="en-US"/>
        </w:rPr>
        <w:t>We have had many clashes on site in recent years where allocated ladies and gents are trying to prepare teas and are just unable to gain access to the kitchen due to the other club personnel being in there previously and it does cause problems, this issue will continue to mount up due to the ever growing membership within both clubs.</w:t>
      </w:r>
    </w:p>
    <w:p w:rsidR="00CA465A" w:rsidRPr="00CA465A" w:rsidRDefault="00CA465A" w:rsidP="00CA465A">
      <w:pPr>
        <w:ind w:left="1418" w:right="2"/>
        <w:jc w:val="both"/>
        <w:rPr>
          <w:i/>
          <w:sz w:val="16"/>
          <w:szCs w:val="16"/>
          <w:lang w:eastAsia="en-US"/>
        </w:rPr>
      </w:pPr>
    </w:p>
    <w:p w:rsidR="00CA465A" w:rsidRPr="00CA465A" w:rsidRDefault="00CA465A" w:rsidP="00CA465A">
      <w:pPr>
        <w:ind w:left="1418" w:right="2"/>
        <w:jc w:val="both"/>
        <w:rPr>
          <w:i/>
          <w:sz w:val="16"/>
          <w:szCs w:val="16"/>
          <w:lang w:eastAsia="en-US"/>
        </w:rPr>
      </w:pPr>
      <w:r w:rsidRPr="00CA465A">
        <w:rPr>
          <w:i/>
          <w:sz w:val="16"/>
          <w:szCs w:val="16"/>
          <w:lang w:eastAsia="en-US"/>
        </w:rPr>
        <w:t>John explained that he had met with a local construction engineer with a plan to extend the kitchen which would more than double the size of the kitchen and really enhance the main part of a very busy and thriving section of Baileys Court Activity Centre. Not only would this ensure we can continue to accommodate both summer sports for 6 months of the year, but will also be able to offer better facilities to the site hirers who regularly use and request kitchen space along with their room hire all year round.</w:t>
      </w:r>
    </w:p>
    <w:p w:rsidR="00CA465A" w:rsidRPr="00CA465A" w:rsidRDefault="00CA465A" w:rsidP="00CA465A">
      <w:pPr>
        <w:ind w:left="1418" w:right="2"/>
        <w:jc w:val="both"/>
        <w:rPr>
          <w:i/>
          <w:sz w:val="16"/>
          <w:szCs w:val="16"/>
          <w:lang w:eastAsia="en-US"/>
        </w:rPr>
      </w:pPr>
    </w:p>
    <w:p w:rsidR="00CA465A" w:rsidRPr="00CA465A" w:rsidRDefault="00CA465A" w:rsidP="00CA465A">
      <w:pPr>
        <w:ind w:left="1418" w:right="2"/>
        <w:jc w:val="both"/>
        <w:rPr>
          <w:i/>
          <w:sz w:val="16"/>
          <w:szCs w:val="16"/>
          <w:lang w:eastAsia="en-US"/>
        </w:rPr>
      </w:pPr>
      <w:r w:rsidRPr="00CA465A">
        <w:rPr>
          <w:i/>
          <w:sz w:val="16"/>
          <w:szCs w:val="16"/>
          <w:lang w:eastAsia="en-US"/>
        </w:rPr>
        <w:t>The estimated maximum cost for this project is £30,000 which includes many provisional sums and worst case scenario costs. It is very likely that we can potentially research and look into bringing the costs down quite considerably, but it’s important we have a figure we can work with for the project.</w:t>
      </w:r>
    </w:p>
    <w:p w:rsidR="00CA465A" w:rsidRPr="00CA465A" w:rsidRDefault="00CA465A" w:rsidP="00CA465A">
      <w:pPr>
        <w:ind w:left="1418" w:right="2"/>
        <w:jc w:val="both"/>
        <w:rPr>
          <w:i/>
          <w:sz w:val="16"/>
          <w:szCs w:val="16"/>
          <w:lang w:eastAsia="en-US"/>
        </w:rPr>
      </w:pPr>
    </w:p>
    <w:p w:rsidR="00CA465A" w:rsidRPr="00CA465A" w:rsidRDefault="00CA465A" w:rsidP="00CA465A">
      <w:pPr>
        <w:ind w:left="1418" w:firstLine="22"/>
        <w:jc w:val="both"/>
        <w:rPr>
          <w:i/>
          <w:sz w:val="16"/>
          <w:szCs w:val="16"/>
          <w:lang w:eastAsia="en-US"/>
        </w:rPr>
      </w:pPr>
      <w:r w:rsidRPr="00CA465A">
        <w:rPr>
          <w:i/>
          <w:sz w:val="16"/>
          <w:szCs w:val="16"/>
          <w:lang w:eastAsia="en-US"/>
        </w:rPr>
        <w:t xml:space="preserve">Following discussion, Councillor Franklin Owusu-Antwi proposed that this item be discussed at the forthcoming Strategic Planning meeting, seconded by Councillor Gurmit Gupta, carried unanimously. </w:t>
      </w:r>
    </w:p>
    <w:p w:rsidR="00CA465A" w:rsidRPr="00CA465A" w:rsidRDefault="00CA465A" w:rsidP="00DA7067">
      <w:pPr>
        <w:ind w:left="1440"/>
        <w:jc w:val="both"/>
        <w:rPr>
          <w:color w:val="000000"/>
          <w:sz w:val="16"/>
          <w:szCs w:val="16"/>
        </w:rPr>
      </w:pPr>
    </w:p>
    <w:p w:rsidR="005C6788" w:rsidRDefault="00CA465A" w:rsidP="00DA7067">
      <w:pPr>
        <w:ind w:left="1440"/>
        <w:jc w:val="both"/>
        <w:rPr>
          <w:color w:val="000000"/>
        </w:rPr>
      </w:pPr>
      <w:r>
        <w:rPr>
          <w:color w:val="000000"/>
        </w:rPr>
        <w:t xml:space="preserve">A further quote has been sought to change the old caretaker’s office (adjacent to the Bowls Green) into a small kitchenette for the bowlers to use with a new hatch installed. </w:t>
      </w:r>
    </w:p>
    <w:p w:rsidR="00F70F54" w:rsidRPr="00904480" w:rsidRDefault="00F70F54" w:rsidP="00F70F54">
      <w:pPr>
        <w:pStyle w:val="gmail-msolistparagraph"/>
        <w:numPr>
          <w:ilvl w:val="0"/>
          <w:numId w:val="14"/>
        </w:numPr>
        <w:spacing w:before="0" w:beforeAutospacing="0" w:after="0" w:afterAutospacing="0"/>
        <w:ind w:left="2268" w:hanging="567"/>
        <w:jc w:val="both"/>
        <w:rPr>
          <w:color w:val="000000"/>
          <w:sz w:val="20"/>
          <w:szCs w:val="20"/>
        </w:rPr>
      </w:pPr>
      <w:r w:rsidRPr="00904480">
        <w:rPr>
          <w:color w:val="000000"/>
          <w:sz w:val="20"/>
          <w:szCs w:val="20"/>
        </w:rPr>
        <w:t>Dismantle the current carbonate room (Old Caretaker office)</w:t>
      </w:r>
    </w:p>
    <w:p w:rsidR="00F70F54" w:rsidRPr="00904480" w:rsidRDefault="00F70F54" w:rsidP="00F70F54">
      <w:pPr>
        <w:pStyle w:val="gmail-msolistparagraph"/>
        <w:numPr>
          <w:ilvl w:val="0"/>
          <w:numId w:val="14"/>
        </w:numPr>
        <w:spacing w:before="0" w:beforeAutospacing="0" w:after="0" w:afterAutospacing="0"/>
        <w:ind w:left="2268" w:hanging="567"/>
        <w:jc w:val="both"/>
        <w:rPr>
          <w:color w:val="000000"/>
          <w:sz w:val="20"/>
          <w:szCs w:val="20"/>
        </w:rPr>
      </w:pPr>
      <w:r w:rsidRPr="00904480">
        <w:rPr>
          <w:color w:val="000000"/>
          <w:sz w:val="20"/>
          <w:szCs w:val="20"/>
        </w:rPr>
        <w:t>Knock down breeze block walling to extend floor space</w:t>
      </w:r>
    </w:p>
    <w:p w:rsidR="00F70F54" w:rsidRPr="00904480" w:rsidRDefault="00F70F54" w:rsidP="00F70F54">
      <w:pPr>
        <w:pStyle w:val="gmail-msolistparagraph"/>
        <w:numPr>
          <w:ilvl w:val="0"/>
          <w:numId w:val="14"/>
        </w:numPr>
        <w:spacing w:before="0" w:beforeAutospacing="0" w:after="0" w:afterAutospacing="0"/>
        <w:ind w:left="2268" w:hanging="567"/>
        <w:jc w:val="both"/>
        <w:rPr>
          <w:color w:val="000000"/>
          <w:sz w:val="20"/>
          <w:szCs w:val="20"/>
        </w:rPr>
      </w:pPr>
      <w:r w:rsidRPr="00904480">
        <w:rPr>
          <w:color w:val="000000"/>
          <w:sz w:val="20"/>
          <w:szCs w:val="20"/>
        </w:rPr>
        <w:t>Create a kitchenette room fully furnished with serving hatch</w:t>
      </w:r>
    </w:p>
    <w:p w:rsidR="00F70F54" w:rsidRPr="00904480" w:rsidRDefault="00F70F54" w:rsidP="00F70F54">
      <w:pPr>
        <w:pStyle w:val="gmail-msolistparagraph"/>
        <w:numPr>
          <w:ilvl w:val="0"/>
          <w:numId w:val="14"/>
        </w:numPr>
        <w:spacing w:before="0" w:beforeAutospacing="0" w:after="0" w:afterAutospacing="0"/>
        <w:ind w:left="2268" w:hanging="567"/>
        <w:jc w:val="both"/>
        <w:rPr>
          <w:color w:val="000000"/>
          <w:sz w:val="20"/>
          <w:szCs w:val="20"/>
        </w:rPr>
      </w:pPr>
      <w:r w:rsidRPr="00904480">
        <w:rPr>
          <w:color w:val="000000"/>
          <w:sz w:val="20"/>
          <w:szCs w:val="20"/>
        </w:rPr>
        <w:t>To include all electric / plumbing works with non-slip flooring</w:t>
      </w:r>
    </w:p>
    <w:p w:rsidR="00F70F54" w:rsidRPr="00904480" w:rsidRDefault="00F70F54" w:rsidP="00F70F54">
      <w:pPr>
        <w:pStyle w:val="gmail-msolistparagraph"/>
        <w:numPr>
          <w:ilvl w:val="0"/>
          <w:numId w:val="14"/>
        </w:numPr>
        <w:spacing w:before="0" w:beforeAutospacing="0" w:after="0" w:afterAutospacing="0"/>
        <w:ind w:left="2268" w:hanging="567"/>
        <w:jc w:val="both"/>
        <w:rPr>
          <w:color w:val="000000"/>
          <w:sz w:val="20"/>
          <w:szCs w:val="20"/>
        </w:rPr>
      </w:pPr>
      <w:r w:rsidRPr="00904480">
        <w:rPr>
          <w:color w:val="000000"/>
          <w:sz w:val="20"/>
          <w:szCs w:val="20"/>
        </w:rPr>
        <w:t xml:space="preserve">Design and build a corridor (DDA </w:t>
      </w:r>
      <w:proofErr w:type="spellStart"/>
      <w:r w:rsidRPr="00904480">
        <w:rPr>
          <w:color w:val="000000"/>
          <w:sz w:val="20"/>
          <w:szCs w:val="20"/>
        </w:rPr>
        <w:t>regs</w:t>
      </w:r>
      <w:proofErr w:type="spellEnd"/>
      <w:r w:rsidRPr="00904480">
        <w:rPr>
          <w:color w:val="000000"/>
          <w:sz w:val="20"/>
          <w:szCs w:val="20"/>
        </w:rPr>
        <w:t>) to obtain access to old build WC’s  and Bowlers changing rooms</w:t>
      </w:r>
    </w:p>
    <w:p w:rsidR="00F70F54" w:rsidRPr="00904480" w:rsidRDefault="00F70F54" w:rsidP="00DA7067">
      <w:pPr>
        <w:ind w:left="1440"/>
        <w:jc w:val="both"/>
        <w:rPr>
          <w:color w:val="000000"/>
          <w:sz w:val="16"/>
          <w:szCs w:val="16"/>
        </w:rPr>
      </w:pPr>
    </w:p>
    <w:p w:rsidR="00CA465A" w:rsidRDefault="00F70F54" w:rsidP="00DA7067">
      <w:pPr>
        <w:ind w:left="1440"/>
        <w:jc w:val="both"/>
        <w:rPr>
          <w:color w:val="000000"/>
        </w:rPr>
      </w:pPr>
      <w:r>
        <w:rPr>
          <w:color w:val="000000"/>
        </w:rPr>
        <w:t>The e</w:t>
      </w:r>
      <w:r w:rsidR="00CA465A">
        <w:rPr>
          <w:color w:val="000000"/>
        </w:rPr>
        <w:t>xtra kitchen facilities would be beneficial for a variety of uses out of season. Before any work is carried out checks will need to be made with South Gloucestershire Council planners and Property Services departments.</w:t>
      </w:r>
    </w:p>
    <w:p w:rsidR="001D6F84" w:rsidRPr="00205E41" w:rsidRDefault="001D6F84" w:rsidP="00DA7067">
      <w:pPr>
        <w:ind w:left="1440"/>
        <w:jc w:val="both"/>
        <w:rPr>
          <w:color w:val="000000"/>
          <w:sz w:val="16"/>
          <w:szCs w:val="16"/>
        </w:rPr>
      </w:pPr>
    </w:p>
    <w:p w:rsidR="008901F8" w:rsidRDefault="00590EF7" w:rsidP="00590EF7">
      <w:pPr>
        <w:pStyle w:val="ListParagraph"/>
        <w:spacing w:after="0" w:line="240" w:lineRule="auto"/>
        <w:ind w:left="1440"/>
        <w:jc w:val="both"/>
        <w:rPr>
          <w:rFonts w:ascii="Times New Roman" w:hAnsi="Times New Roman"/>
          <w:b/>
          <w:i/>
          <w:sz w:val="24"/>
          <w:szCs w:val="24"/>
        </w:rPr>
      </w:pPr>
      <w:r w:rsidRPr="00590EF7">
        <w:rPr>
          <w:rFonts w:ascii="Times New Roman" w:hAnsi="Times New Roman"/>
          <w:b/>
          <w:i/>
          <w:sz w:val="24"/>
          <w:szCs w:val="24"/>
        </w:rPr>
        <w:t xml:space="preserve">Following discussion, councillors agreed to “RECOMMEND to Full Council” that </w:t>
      </w:r>
      <w:r w:rsidR="000D7B8A">
        <w:rPr>
          <w:rFonts w:ascii="Times New Roman" w:hAnsi="Times New Roman"/>
          <w:b/>
          <w:i/>
          <w:sz w:val="24"/>
          <w:szCs w:val="24"/>
        </w:rPr>
        <w:t xml:space="preserve">BSTC </w:t>
      </w:r>
      <w:r w:rsidR="00F70F54">
        <w:rPr>
          <w:rFonts w:ascii="Times New Roman" w:hAnsi="Times New Roman"/>
          <w:b/>
          <w:i/>
          <w:sz w:val="24"/>
          <w:szCs w:val="24"/>
        </w:rPr>
        <w:t xml:space="preserve">uses £15,000 from the All Sites Refurbishment Project reserve </w:t>
      </w:r>
      <w:r w:rsidR="008901F8">
        <w:rPr>
          <w:rFonts w:ascii="Times New Roman" w:hAnsi="Times New Roman"/>
          <w:b/>
          <w:i/>
          <w:sz w:val="24"/>
          <w:szCs w:val="24"/>
        </w:rPr>
        <w:t>(N/C</w:t>
      </w:r>
      <w:r w:rsidR="00B05AC1">
        <w:rPr>
          <w:rFonts w:ascii="Times New Roman" w:hAnsi="Times New Roman"/>
          <w:b/>
          <w:i/>
          <w:sz w:val="24"/>
          <w:szCs w:val="24"/>
        </w:rPr>
        <w:t xml:space="preserve"> </w:t>
      </w:r>
      <w:r w:rsidR="008901F8">
        <w:rPr>
          <w:rFonts w:ascii="Times New Roman" w:hAnsi="Times New Roman"/>
          <w:b/>
          <w:i/>
          <w:sz w:val="24"/>
          <w:szCs w:val="24"/>
        </w:rPr>
        <w:t>30</w:t>
      </w:r>
      <w:r w:rsidR="00F70F54">
        <w:rPr>
          <w:rFonts w:ascii="Times New Roman" w:hAnsi="Times New Roman"/>
          <w:b/>
          <w:i/>
          <w:sz w:val="24"/>
          <w:szCs w:val="24"/>
        </w:rPr>
        <w:t>1</w:t>
      </w:r>
      <w:r w:rsidR="008901F8">
        <w:rPr>
          <w:rFonts w:ascii="Times New Roman" w:hAnsi="Times New Roman"/>
          <w:b/>
          <w:i/>
          <w:sz w:val="24"/>
          <w:szCs w:val="24"/>
        </w:rPr>
        <w:t xml:space="preserve">2) </w:t>
      </w:r>
      <w:r w:rsidR="00F70F54">
        <w:rPr>
          <w:rFonts w:ascii="Times New Roman" w:hAnsi="Times New Roman"/>
          <w:b/>
          <w:i/>
          <w:sz w:val="24"/>
          <w:szCs w:val="24"/>
        </w:rPr>
        <w:t>to install a new small kitchen in the old caretaker’s office at Baileys Court Activity Centre.</w:t>
      </w:r>
    </w:p>
    <w:p w:rsidR="00A045F4" w:rsidRDefault="00A045F4" w:rsidP="00DF6FDA"/>
    <w:p w:rsidR="00626ACC" w:rsidRDefault="00626ACC" w:rsidP="00DF6FDA"/>
    <w:p w:rsidR="00715452" w:rsidRPr="00205E41" w:rsidRDefault="00A045F4" w:rsidP="00A045F4">
      <w:pPr>
        <w:rPr>
          <w:b/>
          <w:u w:val="single"/>
        </w:rPr>
      </w:pPr>
      <w:r w:rsidRPr="00205E41">
        <w:tab/>
      </w:r>
      <w:r w:rsidRPr="00205E41">
        <w:tab/>
      </w:r>
      <w:r w:rsidR="00B05AC1">
        <w:rPr>
          <w:b/>
          <w:u w:val="single"/>
        </w:rPr>
        <w:t>New Booking System for all Site bookings</w:t>
      </w:r>
      <w:r w:rsidR="00205E41" w:rsidRPr="00205E41">
        <w:rPr>
          <w:b/>
          <w:u w:val="single"/>
        </w:rPr>
        <w:t xml:space="preserve"> </w:t>
      </w:r>
      <w:r w:rsidR="0035746D" w:rsidRPr="00205E41">
        <w:rPr>
          <w:b/>
          <w:u w:val="single"/>
        </w:rPr>
        <w:t xml:space="preserve">(N/C </w:t>
      </w:r>
      <w:r w:rsidR="00626ACC" w:rsidRPr="00205E41">
        <w:rPr>
          <w:b/>
          <w:u w:val="single"/>
        </w:rPr>
        <w:t>30</w:t>
      </w:r>
      <w:r w:rsidR="00904480">
        <w:rPr>
          <w:b/>
          <w:u w:val="single"/>
        </w:rPr>
        <w:t>1</w:t>
      </w:r>
      <w:r w:rsidR="00205E41" w:rsidRPr="00205E41">
        <w:rPr>
          <w:b/>
          <w:u w:val="single"/>
        </w:rPr>
        <w:t>8</w:t>
      </w:r>
      <w:r w:rsidR="0035746D" w:rsidRPr="00205E41">
        <w:rPr>
          <w:b/>
          <w:u w:val="single"/>
        </w:rPr>
        <w:t>)</w:t>
      </w:r>
    </w:p>
    <w:p w:rsidR="00626ACC" w:rsidRPr="002B6D96" w:rsidRDefault="00A045F4" w:rsidP="009714A3">
      <w:pPr>
        <w:ind w:left="1440" w:hanging="1080"/>
        <w:jc w:val="both"/>
        <w:rPr>
          <w:sz w:val="16"/>
          <w:szCs w:val="16"/>
        </w:rPr>
      </w:pPr>
      <w:r>
        <w:tab/>
      </w:r>
    </w:p>
    <w:p w:rsidR="00904480" w:rsidRDefault="00B05AC1" w:rsidP="00205E41">
      <w:pPr>
        <w:ind w:left="1418"/>
        <w:jc w:val="both"/>
        <w:rPr>
          <w:rFonts w:eastAsiaTheme="minorHAnsi"/>
          <w:lang w:eastAsia="en-US"/>
        </w:rPr>
      </w:pPr>
      <w:r>
        <w:rPr>
          <w:rFonts w:eastAsiaTheme="minorHAnsi"/>
          <w:lang w:eastAsia="en-US"/>
        </w:rPr>
        <w:t>The current booking system is very outdated and time</w:t>
      </w:r>
      <w:r w:rsidR="00904480">
        <w:rPr>
          <w:rFonts w:eastAsiaTheme="minorHAnsi"/>
          <w:lang w:eastAsia="en-US"/>
        </w:rPr>
        <w:t>-</w:t>
      </w:r>
      <w:r>
        <w:rPr>
          <w:rFonts w:eastAsiaTheme="minorHAnsi"/>
          <w:lang w:eastAsia="en-US"/>
        </w:rPr>
        <w:t>consuming to administer. A new bespoke system would speed procedures and increase efficiency relating to bookings.</w:t>
      </w:r>
      <w:r w:rsidRPr="00205E41">
        <w:rPr>
          <w:rFonts w:eastAsiaTheme="minorHAnsi"/>
          <w:lang w:eastAsia="en-US"/>
        </w:rPr>
        <w:t xml:space="preserve"> </w:t>
      </w:r>
      <w:r w:rsidR="00904480">
        <w:rPr>
          <w:rFonts w:eastAsiaTheme="minorHAnsi"/>
          <w:lang w:eastAsia="en-US"/>
        </w:rPr>
        <w:t xml:space="preserve">Officers are aware of three systems (Avalon, Midas &amp; RBS Rialtas) used by other parish and town councils and will contact our current IT provider, Ionet, for advice to see if they have experience of these or other booking systems. It is anticipated that all companies would be invited to meet with the BSTC staff </w:t>
      </w:r>
      <w:r w:rsidR="00940B42">
        <w:rPr>
          <w:rFonts w:eastAsiaTheme="minorHAnsi"/>
          <w:lang w:eastAsia="en-US"/>
        </w:rPr>
        <w:t xml:space="preserve">and councillors as appropriate </w:t>
      </w:r>
      <w:r w:rsidR="00904480">
        <w:rPr>
          <w:rFonts w:eastAsiaTheme="minorHAnsi"/>
          <w:lang w:eastAsia="en-US"/>
        </w:rPr>
        <w:t>to ensure that whichever system is installed is completely fit for purpose.</w:t>
      </w:r>
    </w:p>
    <w:p w:rsidR="00904480" w:rsidRPr="003F4142" w:rsidRDefault="00904480" w:rsidP="00205E41">
      <w:pPr>
        <w:ind w:left="1418"/>
        <w:jc w:val="both"/>
        <w:rPr>
          <w:rFonts w:eastAsiaTheme="minorHAnsi"/>
          <w:sz w:val="16"/>
          <w:szCs w:val="16"/>
          <w:lang w:eastAsia="en-US"/>
        </w:rPr>
      </w:pPr>
    </w:p>
    <w:p w:rsidR="00205702" w:rsidRPr="00205702" w:rsidRDefault="009714A3" w:rsidP="0059592E">
      <w:pPr>
        <w:ind w:left="1440" w:hanging="1440"/>
        <w:jc w:val="both"/>
        <w:rPr>
          <w:b/>
          <w:u w:val="single"/>
        </w:rPr>
      </w:pPr>
      <w:r w:rsidRPr="00205702">
        <w:rPr>
          <w:b/>
          <w:i/>
        </w:rPr>
        <w:tab/>
      </w:r>
      <w:r w:rsidR="0059592E" w:rsidRPr="00205702">
        <w:rPr>
          <w:b/>
          <w:i/>
        </w:rPr>
        <w:t xml:space="preserve">Following discussion, councillors agreed to “RECOMMEND to Full Council” </w:t>
      </w:r>
      <w:r w:rsidR="00904480" w:rsidRPr="00205702">
        <w:rPr>
          <w:b/>
          <w:i/>
        </w:rPr>
        <w:t xml:space="preserve">that </w:t>
      </w:r>
      <w:r w:rsidR="00904480">
        <w:rPr>
          <w:b/>
          <w:i/>
        </w:rPr>
        <w:t xml:space="preserve">the Online Payment System </w:t>
      </w:r>
      <w:r w:rsidR="003F4142">
        <w:rPr>
          <w:b/>
          <w:i/>
        </w:rPr>
        <w:t>B</w:t>
      </w:r>
      <w:r w:rsidR="00904480">
        <w:rPr>
          <w:b/>
          <w:i/>
        </w:rPr>
        <w:t>udget reserve (N/C 3018) of £2,000 be utilised to install a new all sites booking system.</w:t>
      </w:r>
    </w:p>
    <w:p w:rsidR="00205702" w:rsidRDefault="00205702" w:rsidP="0059592E">
      <w:pPr>
        <w:ind w:left="1440" w:hanging="1440"/>
        <w:jc w:val="both"/>
        <w:rPr>
          <w:b/>
          <w:u w:val="single"/>
        </w:rPr>
      </w:pPr>
    </w:p>
    <w:p w:rsidR="00BF2FA6" w:rsidRDefault="0059592E" w:rsidP="003F4142">
      <w:r w:rsidRPr="00A045F4">
        <w:tab/>
      </w:r>
      <w:r w:rsidRPr="00A045F4">
        <w:tab/>
      </w:r>
    </w:p>
    <w:p w:rsidR="00626ACC" w:rsidRPr="001E1553" w:rsidRDefault="003F4142" w:rsidP="00BF2FA6">
      <w:pPr>
        <w:ind w:left="720" w:firstLine="720"/>
        <w:rPr>
          <w:b/>
          <w:u w:val="single"/>
        </w:rPr>
      </w:pPr>
      <w:r>
        <w:rPr>
          <w:b/>
          <w:u w:val="single"/>
        </w:rPr>
        <w:t>Local Councils Award Scheme</w:t>
      </w:r>
    </w:p>
    <w:p w:rsidR="00626ACC" w:rsidRPr="004A1B82" w:rsidRDefault="00626ACC" w:rsidP="00626ACC">
      <w:pPr>
        <w:rPr>
          <w:sz w:val="16"/>
          <w:szCs w:val="16"/>
        </w:rPr>
      </w:pPr>
    </w:p>
    <w:p w:rsidR="003F4142" w:rsidRPr="003F4142" w:rsidRDefault="003F4142" w:rsidP="003F4142">
      <w:pPr>
        <w:ind w:left="1440"/>
        <w:jc w:val="both"/>
        <w:rPr>
          <w:rFonts w:eastAsia="Calibri"/>
          <w:lang w:eastAsia="en-US"/>
        </w:rPr>
      </w:pPr>
      <w:r w:rsidRPr="003F4142">
        <w:rPr>
          <w:rFonts w:eastAsia="Calibri"/>
          <w:lang w:eastAsia="en-US"/>
        </w:rPr>
        <w:t>The Local Council Award Scheme exists to celebrate the successes of the very best local councils, and to provide a framework to support all local councils to meet their full potential. All local councils want to serve their local communities and make a real difference to the lives of the people that live there. This scheme offers councils the opportunity to show that they meet the standards set by the sector, assessed by their peers, and to put in place the conditions for continued improvement.</w:t>
      </w:r>
    </w:p>
    <w:p w:rsidR="003F4142" w:rsidRPr="00FF0087" w:rsidRDefault="003F4142" w:rsidP="003F4142">
      <w:pPr>
        <w:ind w:left="1440"/>
        <w:jc w:val="both"/>
        <w:rPr>
          <w:rFonts w:eastAsia="Calibri"/>
          <w:sz w:val="16"/>
          <w:szCs w:val="16"/>
          <w:lang w:eastAsia="en-US"/>
        </w:rPr>
      </w:pPr>
    </w:p>
    <w:p w:rsidR="003F4142" w:rsidRPr="003F4142" w:rsidRDefault="003F4142" w:rsidP="003F4142">
      <w:pPr>
        <w:ind w:left="1440"/>
        <w:jc w:val="both"/>
        <w:rPr>
          <w:rFonts w:eastAsia="Calibri"/>
          <w:lang w:eastAsia="en-US"/>
        </w:rPr>
      </w:pPr>
      <w:r w:rsidRPr="003F4142">
        <w:rPr>
          <w:rFonts w:eastAsia="Calibri"/>
          <w:lang w:eastAsia="en-US"/>
        </w:rPr>
        <w:t>The Local Council Award Scheme has been designed to both provide the tools and encouragement to those councils at the beginning of their improvement journeys, as well as promoting and recognising councils that are at the cutting edge of the sector. It is only through the sector working together to share best practice, drive up standards and supporting those who are committed to improving their offer to their communities that individual councils and the sector as a whole will reach its full potential.</w:t>
      </w:r>
    </w:p>
    <w:p w:rsidR="003F4142" w:rsidRPr="00FF0087" w:rsidRDefault="003F4142" w:rsidP="003F4142">
      <w:pPr>
        <w:ind w:left="1440"/>
        <w:jc w:val="both"/>
        <w:rPr>
          <w:rFonts w:eastAsia="Calibri"/>
          <w:sz w:val="16"/>
          <w:szCs w:val="16"/>
          <w:lang w:eastAsia="en-US"/>
        </w:rPr>
      </w:pPr>
    </w:p>
    <w:p w:rsidR="003F4142" w:rsidRPr="003F4142" w:rsidRDefault="003F4142" w:rsidP="003F4142">
      <w:pPr>
        <w:ind w:left="720" w:firstLine="720"/>
        <w:jc w:val="both"/>
        <w:rPr>
          <w:rFonts w:eastAsia="Calibri"/>
          <w:lang w:eastAsia="en-US"/>
        </w:rPr>
      </w:pPr>
      <w:r w:rsidRPr="003F4142">
        <w:rPr>
          <w:rFonts w:eastAsia="Calibri"/>
          <w:lang w:eastAsia="en-US"/>
        </w:rPr>
        <w:t>Councils can apply for an award at one of three levels.</w:t>
      </w:r>
    </w:p>
    <w:p w:rsidR="003F4142" w:rsidRPr="003F4142" w:rsidRDefault="003F4142" w:rsidP="003F4142">
      <w:pPr>
        <w:numPr>
          <w:ilvl w:val="0"/>
          <w:numId w:val="15"/>
        </w:numPr>
        <w:ind w:left="2268" w:hanging="567"/>
        <w:contextualSpacing/>
        <w:jc w:val="both"/>
        <w:rPr>
          <w:rFonts w:eastAsia="Calibri"/>
          <w:lang w:eastAsia="en-US"/>
        </w:rPr>
      </w:pPr>
      <w:r w:rsidRPr="003F4142">
        <w:rPr>
          <w:rFonts w:eastAsia="Calibri"/>
          <w:lang w:eastAsia="en-US"/>
        </w:rPr>
        <w:t>The</w:t>
      </w:r>
      <w:r w:rsidRPr="003F4142">
        <w:rPr>
          <w:rFonts w:eastAsia="Calibri"/>
          <w:b/>
          <w:lang w:eastAsia="en-US"/>
        </w:rPr>
        <w:t xml:space="preserve"> Foundation Award </w:t>
      </w:r>
      <w:r w:rsidRPr="003F4142">
        <w:rPr>
          <w:rFonts w:eastAsia="Calibri"/>
          <w:lang w:eastAsia="en-US"/>
        </w:rPr>
        <w:t>demonstrates that a council meets requirements for operating lawfully and according to standard practice.</w:t>
      </w:r>
    </w:p>
    <w:p w:rsidR="003F4142" w:rsidRPr="003F4142" w:rsidRDefault="003F4142" w:rsidP="003F4142">
      <w:pPr>
        <w:numPr>
          <w:ilvl w:val="0"/>
          <w:numId w:val="15"/>
        </w:numPr>
        <w:ind w:left="2268" w:hanging="567"/>
        <w:contextualSpacing/>
        <w:jc w:val="both"/>
        <w:rPr>
          <w:rFonts w:eastAsia="Calibri"/>
          <w:b/>
          <w:lang w:eastAsia="en-US"/>
        </w:rPr>
      </w:pPr>
      <w:r w:rsidRPr="003F4142">
        <w:rPr>
          <w:rFonts w:eastAsia="Calibri"/>
          <w:lang w:eastAsia="en-US"/>
        </w:rPr>
        <w:t>The</w:t>
      </w:r>
      <w:r w:rsidRPr="003F4142">
        <w:rPr>
          <w:rFonts w:eastAsia="Calibri"/>
          <w:b/>
          <w:lang w:eastAsia="en-US"/>
        </w:rPr>
        <w:t xml:space="preserve"> Quality Award</w:t>
      </w:r>
      <w:r w:rsidRPr="003F4142">
        <w:rPr>
          <w:rFonts w:eastAsia="Calibri"/>
          <w:lang w:eastAsia="en-US"/>
        </w:rPr>
        <w:t xml:space="preserve"> demonstrates that a council achieves good practice in governance, community engagement and council improvement.</w:t>
      </w:r>
      <w:r w:rsidRPr="003F4142">
        <w:rPr>
          <w:rFonts w:eastAsia="Calibri"/>
          <w:b/>
          <w:lang w:eastAsia="en-US"/>
        </w:rPr>
        <w:t xml:space="preserve"> </w:t>
      </w:r>
    </w:p>
    <w:p w:rsidR="003F4142" w:rsidRPr="003F4142" w:rsidRDefault="003F4142" w:rsidP="003F4142">
      <w:pPr>
        <w:numPr>
          <w:ilvl w:val="0"/>
          <w:numId w:val="15"/>
        </w:numPr>
        <w:ind w:left="2268" w:hanging="567"/>
        <w:contextualSpacing/>
        <w:jc w:val="both"/>
        <w:rPr>
          <w:rFonts w:eastAsia="Calibri"/>
          <w:lang w:eastAsia="en-US"/>
        </w:rPr>
      </w:pPr>
      <w:r w:rsidRPr="003F4142">
        <w:rPr>
          <w:rFonts w:eastAsia="Calibri"/>
          <w:lang w:eastAsia="en-US"/>
        </w:rPr>
        <w:t>The</w:t>
      </w:r>
      <w:r w:rsidRPr="003F4142">
        <w:rPr>
          <w:rFonts w:eastAsia="Calibri"/>
          <w:b/>
          <w:lang w:eastAsia="en-US"/>
        </w:rPr>
        <w:t xml:space="preserve"> Quality Gold Award</w:t>
      </w:r>
      <w:r w:rsidRPr="003F4142">
        <w:rPr>
          <w:rFonts w:eastAsia="Calibri"/>
          <w:lang w:eastAsia="en-US"/>
        </w:rPr>
        <w:t xml:space="preserve"> demonstrates that a council is at the forefront of best practice and achieves excellence in governance, community leadership and council development.</w:t>
      </w:r>
    </w:p>
    <w:p w:rsidR="003F4142" w:rsidRPr="00FF0087" w:rsidRDefault="003F4142" w:rsidP="003F4142">
      <w:pPr>
        <w:jc w:val="both"/>
        <w:rPr>
          <w:rFonts w:eastAsia="Calibri"/>
          <w:sz w:val="16"/>
          <w:szCs w:val="16"/>
          <w:lang w:eastAsia="en-US"/>
        </w:rPr>
      </w:pPr>
    </w:p>
    <w:p w:rsidR="003F4142" w:rsidRPr="003F4142" w:rsidRDefault="003F4142" w:rsidP="003F4142">
      <w:pPr>
        <w:ind w:left="1440"/>
        <w:jc w:val="both"/>
        <w:rPr>
          <w:rFonts w:eastAsia="Calibri"/>
          <w:lang w:eastAsia="en-US"/>
        </w:rPr>
      </w:pPr>
      <w:r w:rsidRPr="003F4142">
        <w:rPr>
          <w:rFonts w:eastAsia="Calibri"/>
          <w:lang w:eastAsia="en-US"/>
        </w:rPr>
        <w:t>The scheme sets out criteria to meet at each level covering selected aspects of the council’s work.</w:t>
      </w:r>
      <w:r>
        <w:rPr>
          <w:rFonts w:eastAsia="Calibri"/>
          <w:lang w:eastAsia="en-US"/>
        </w:rPr>
        <w:t xml:space="preserve"> </w:t>
      </w:r>
      <w:r w:rsidRPr="003F4142">
        <w:rPr>
          <w:rFonts w:eastAsia="Calibri"/>
          <w:lang w:eastAsia="en-US"/>
        </w:rPr>
        <w:t>Councils can seek to progress through the tiers over time thereby raising standards. Councils of any size can aspire to an award appropriate for their budget and level of activity.</w:t>
      </w:r>
      <w:r w:rsidRPr="003F4142">
        <w:rPr>
          <w:rFonts w:eastAsia="Calibri"/>
          <w:noProof/>
        </w:rPr>
        <w:t xml:space="preserve"> </w:t>
      </w:r>
    </w:p>
    <w:p w:rsidR="003F4142" w:rsidRPr="00FF0087" w:rsidRDefault="003F4142" w:rsidP="003F4142">
      <w:pPr>
        <w:ind w:left="1418" w:firstLine="22"/>
        <w:jc w:val="both"/>
        <w:rPr>
          <w:rFonts w:eastAsia="Calibri"/>
          <w:sz w:val="16"/>
          <w:szCs w:val="16"/>
          <w:lang w:eastAsia="en-US"/>
        </w:rPr>
      </w:pPr>
    </w:p>
    <w:p w:rsidR="003F4142" w:rsidRPr="003F4142" w:rsidRDefault="003F4142" w:rsidP="003F4142">
      <w:pPr>
        <w:ind w:left="1418" w:firstLine="22"/>
        <w:jc w:val="both"/>
        <w:rPr>
          <w:rFonts w:eastAsia="Calibri"/>
          <w:lang w:eastAsia="en-US"/>
        </w:rPr>
      </w:pPr>
      <w:r w:rsidRPr="003F4142">
        <w:rPr>
          <w:rFonts w:eastAsia="Calibri"/>
          <w:lang w:eastAsia="en-US"/>
        </w:rPr>
        <w:t xml:space="preserve">To support transparency, every award level has a requirement for certain information to be published online (plus some information that does not need to be published).  In all instances the council confirms that the required documents, information and conditions are in place (whether published or not) by resolution in public at a full council meeting.  </w:t>
      </w:r>
    </w:p>
    <w:p w:rsidR="003F4142" w:rsidRPr="00FF0087" w:rsidRDefault="003F4142" w:rsidP="004A1B82">
      <w:pPr>
        <w:ind w:left="1418"/>
        <w:jc w:val="both"/>
        <w:rPr>
          <w:rFonts w:eastAsiaTheme="minorHAnsi"/>
          <w:sz w:val="16"/>
          <w:szCs w:val="16"/>
          <w:lang w:eastAsia="en-US"/>
        </w:rPr>
      </w:pPr>
    </w:p>
    <w:p w:rsidR="00FF0087" w:rsidRPr="00FF0087" w:rsidRDefault="00FF0087" w:rsidP="00FF0087">
      <w:pPr>
        <w:ind w:left="1418"/>
        <w:jc w:val="both"/>
        <w:rPr>
          <w:rFonts w:eastAsiaTheme="minorHAnsi"/>
          <w:b/>
          <w:lang w:eastAsia="en-US"/>
        </w:rPr>
      </w:pPr>
      <w:r>
        <w:rPr>
          <w:rFonts w:eastAsiaTheme="minorHAnsi"/>
          <w:b/>
          <w:lang w:eastAsia="en-US"/>
        </w:rPr>
        <w:t>Costs:</w:t>
      </w:r>
    </w:p>
    <w:p w:rsidR="00FF0087" w:rsidRPr="00FF0087" w:rsidRDefault="00FF0087" w:rsidP="00FF0087">
      <w:pPr>
        <w:ind w:left="1418"/>
        <w:jc w:val="both"/>
        <w:rPr>
          <w:rFonts w:eastAsiaTheme="minorHAnsi"/>
          <w:lang w:eastAsia="en-US"/>
        </w:rPr>
      </w:pPr>
      <w:r w:rsidRPr="00FF0087">
        <w:rPr>
          <w:rFonts w:eastAsiaTheme="minorHAnsi"/>
          <w:lang w:eastAsia="en-US"/>
        </w:rPr>
        <w:t>There are two fees:</w:t>
      </w:r>
    </w:p>
    <w:p w:rsidR="00FF0087" w:rsidRPr="00FF0087" w:rsidRDefault="00FF0087" w:rsidP="00FF0087">
      <w:pPr>
        <w:numPr>
          <w:ilvl w:val="0"/>
          <w:numId w:val="16"/>
        </w:numPr>
        <w:ind w:left="2268" w:hanging="567"/>
        <w:jc w:val="both"/>
        <w:rPr>
          <w:rFonts w:eastAsiaTheme="minorHAnsi"/>
          <w:lang w:eastAsia="en-US"/>
        </w:rPr>
      </w:pPr>
      <w:r w:rsidRPr="00FF0087">
        <w:rPr>
          <w:rFonts w:eastAsiaTheme="minorHAnsi"/>
          <w:lang w:eastAsia="en-US"/>
        </w:rPr>
        <w:t xml:space="preserve">A </w:t>
      </w:r>
      <w:r w:rsidRPr="00FF0087">
        <w:rPr>
          <w:rFonts w:eastAsiaTheme="minorHAnsi"/>
          <w:b/>
          <w:lang w:eastAsia="en-US"/>
        </w:rPr>
        <w:t>registration fee</w:t>
      </w:r>
      <w:r w:rsidRPr="00FF0087">
        <w:rPr>
          <w:rFonts w:eastAsiaTheme="minorHAnsi"/>
          <w:lang w:eastAsia="en-US"/>
        </w:rPr>
        <w:t xml:space="preserve"> </w:t>
      </w:r>
      <w:r>
        <w:rPr>
          <w:rFonts w:eastAsiaTheme="minorHAnsi"/>
          <w:lang w:eastAsia="en-US"/>
        </w:rPr>
        <w:t xml:space="preserve">(£50) </w:t>
      </w:r>
      <w:r w:rsidRPr="00FF0087">
        <w:rPr>
          <w:rFonts w:eastAsiaTheme="minorHAnsi"/>
          <w:lang w:eastAsia="en-US"/>
        </w:rPr>
        <w:t xml:space="preserve">paid to the National Association of Local Councils </w:t>
      </w:r>
    </w:p>
    <w:p w:rsidR="00FF0087" w:rsidRPr="00FF0087" w:rsidRDefault="00FF0087" w:rsidP="00FF0087">
      <w:pPr>
        <w:numPr>
          <w:ilvl w:val="0"/>
          <w:numId w:val="16"/>
        </w:numPr>
        <w:ind w:left="2268" w:hanging="567"/>
        <w:jc w:val="both"/>
        <w:rPr>
          <w:rFonts w:eastAsiaTheme="minorHAnsi"/>
          <w:lang w:eastAsia="en-US"/>
        </w:rPr>
      </w:pPr>
      <w:r w:rsidRPr="00FF0087">
        <w:rPr>
          <w:rFonts w:eastAsiaTheme="minorHAnsi"/>
          <w:lang w:eastAsia="en-US"/>
        </w:rPr>
        <w:t xml:space="preserve">An </w:t>
      </w:r>
      <w:r w:rsidRPr="00FF0087">
        <w:rPr>
          <w:rFonts w:eastAsiaTheme="minorHAnsi"/>
          <w:b/>
          <w:lang w:eastAsia="en-US"/>
        </w:rPr>
        <w:t>accreditation fee</w:t>
      </w:r>
      <w:r w:rsidRPr="00FF0087">
        <w:rPr>
          <w:rFonts w:eastAsiaTheme="minorHAnsi"/>
          <w:lang w:eastAsia="en-US"/>
        </w:rPr>
        <w:t xml:space="preserve"> paid to the organisation responsible for administering the local or regional accreditation process.</w:t>
      </w:r>
    </w:p>
    <w:p w:rsidR="00FF0087" w:rsidRPr="00FF0087" w:rsidRDefault="00FF0087" w:rsidP="00FF0087">
      <w:pPr>
        <w:ind w:left="1418"/>
        <w:jc w:val="both"/>
        <w:rPr>
          <w:rFonts w:eastAsiaTheme="minorHAnsi"/>
          <w:sz w:val="16"/>
          <w:szCs w:val="16"/>
          <w:lang w:eastAsia="en-US"/>
        </w:rPr>
      </w:pPr>
    </w:p>
    <w:p w:rsidR="00FF0087" w:rsidRDefault="00FF0087" w:rsidP="00FF0087">
      <w:pPr>
        <w:ind w:left="1418"/>
        <w:jc w:val="both"/>
        <w:rPr>
          <w:rFonts w:eastAsiaTheme="minorHAnsi"/>
          <w:lang w:eastAsia="en-US"/>
        </w:rPr>
      </w:pPr>
      <w:r w:rsidRPr="00FF0087">
        <w:rPr>
          <w:rFonts w:eastAsiaTheme="minorHAnsi"/>
          <w:lang w:eastAsia="en-US"/>
        </w:rPr>
        <w:t xml:space="preserve">The </w:t>
      </w:r>
      <w:r w:rsidRPr="00FF0087">
        <w:rPr>
          <w:rFonts w:eastAsiaTheme="minorHAnsi"/>
          <w:b/>
          <w:lang w:eastAsia="en-US"/>
        </w:rPr>
        <w:t>accreditation fee</w:t>
      </w:r>
      <w:r>
        <w:rPr>
          <w:rFonts w:eastAsiaTheme="minorHAnsi"/>
          <w:b/>
          <w:vertAlign w:val="superscript"/>
          <w:lang w:eastAsia="en-US"/>
        </w:rPr>
        <w:t xml:space="preserve"> </w:t>
      </w:r>
      <w:r w:rsidRPr="00FF0087">
        <w:rPr>
          <w:rFonts w:eastAsiaTheme="minorHAnsi"/>
          <w:lang w:eastAsia="en-US"/>
        </w:rPr>
        <w:t>varies according to</w:t>
      </w:r>
      <w:r>
        <w:rPr>
          <w:rFonts w:eastAsiaTheme="minorHAnsi"/>
          <w:lang w:eastAsia="en-US"/>
        </w:rPr>
        <w:t xml:space="preserve"> </w:t>
      </w:r>
      <w:r w:rsidRPr="00FF0087">
        <w:rPr>
          <w:rFonts w:eastAsiaTheme="minorHAnsi"/>
          <w:lang w:eastAsia="en-US"/>
        </w:rPr>
        <w:t>the award applied for</w:t>
      </w:r>
      <w:r>
        <w:rPr>
          <w:rFonts w:eastAsiaTheme="minorHAnsi"/>
          <w:lang w:eastAsia="en-US"/>
        </w:rPr>
        <w:t xml:space="preserve">, </w:t>
      </w:r>
      <w:r w:rsidRPr="00FF0087">
        <w:rPr>
          <w:rFonts w:eastAsiaTheme="minorHAnsi"/>
          <w:lang w:eastAsia="en-US"/>
        </w:rPr>
        <w:t>the income of the council</w:t>
      </w:r>
      <w:r>
        <w:rPr>
          <w:rFonts w:eastAsiaTheme="minorHAnsi"/>
          <w:lang w:eastAsia="en-US"/>
        </w:rPr>
        <w:t xml:space="preserve"> and </w:t>
      </w:r>
      <w:r w:rsidRPr="00FF0087">
        <w:rPr>
          <w:rFonts w:eastAsiaTheme="minorHAnsi"/>
          <w:lang w:eastAsia="en-US"/>
        </w:rPr>
        <w:t>the council’s accreditation history</w:t>
      </w:r>
    </w:p>
    <w:p w:rsidR="00FF0087" w:rsidRPr="00FF0087" w:rsidRDefault="00FF0087" w:rsidP="00FF0087">
      <w:pPr>
        <w:ind w:left="1418"/>
        <w:jc w:val="both"/>
        <w:rPr>
          <w:rFonts w:eastAsiaTheme="minorHAnsi"/>
          <w:sz w:val="16"/>
          <w:szCs w:val="16"/>
          <w:lang w:eastAsia="en-US"/>
        </w:rPr>
      </w:pPr>
    </w:p>
    <w:tbl>
      <w:tblPr>
        <w:tblW w:w="8363" w:type="dxa"/>
        <w:tblInd w:w="1408" w:type="dxa"/>
        <w:tblCellMar>
          <w:left w:w="0" w:type="dxa"/>
          <w:right w:w="0" w:type="dxa"/>
        </w:tblCellMar>
        <w:tblLook w:val="04A0" w:firstRow="1" w:lastRow="0" w:firstColumn="1" w:lastColumn="0" w:noHBand="0" w:noVBand="1"/>
      </w:tblPr>
      <w:tblGrid>
        <w:gridCol w:w="2554"/>
        <w:gridCol w:w="3095"/>
        <w:gridCol w:w="2714"/>
      </w:tblGrid>
      <w:tr w:rsidR="00FF0087" w:rsidRPr="00FF0087" w:rsidTr="00FF0087">
        <w:tc>
          <w:tcPr>
            <w:tcW w:w="25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0087" w:rsidRPr="00FF0087" w:rsidRDefault="00FF0087" w:rsidP="00FF0087">
            <w:pPr>
              <w:ind w:left="1418"/>
              <w:jc w:val="both"/>
              <w:rPr>
                <w:rFonts w:eastAsiaTheme="minorHAnsi"/>
                <w:sz w:val="20"/>
                <w:szCs w:val="20"/>
                <w:lang w:eastAsia="en-US"/>
              </w:rPr>
            </w:pPr>
            <w:r w:rsidRPr="00FF0087">
              <w:rPr>
                <w:rFonts w:eastAsiaTheme="minorHAnsi"/>
                <w:sz w:val="20"/>
                <w:szCs w:val="20"/>
                <w:lang w:eastAsia="en-US"/>
              </w:rPr>
              <w:t> </w:t>
            </w:r>
          </w:p>
        </w:tc>
        <w:tc>
          <w:tcPr>
            <w:tcW w:w="30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087" w:rsidRPr="00FF0087" w:rsidRDefault="00FF0087" w:rsidP="00FF0087">
            <w:pPr>
              <w:ind w:left="1418" w:hanging="1418"/>
              <w:jc w:val="both"/>
              <w:rPr>
                <w:rFonts w:eastAsiaTheme="minorHAnsi"/>
                <w:b/>
                <w:sz w:val="20"/>
                <w:szCs w:val="20"/>
                <w:lang w:eastAsia="en-US"/>
              </w:rPr>
            </w:pPr>
            <w:r>
              <w:rPr>
                <w:rFonts w:eastAsiaTheme="minorHAnsi"/>
                <w:b/>
                <w:sz w:val="20"/>
                <w:szCs w:val="20"/>
                <w:lang w:eastAsia="en-US"/>
              </w:rPr>
              <w:t>A</w:t>
            </w:r>
            <w:r w:rsidRPr="00FF0087">
              <w:rPr>
                <w:rFonts w:eastAsiaTheme="minorHAnsi"/>
                <w:b/>
                <w:sz w:val="20"/>
                <w:szCs w:val="20"/>
                <w:lang w:eastAsia="en-US"/>
              </w:rPr>
              <w:t>nnual income under £25,000</w:t>
            </w:r>
          </w:p>
        </w:tc>
        <w:tc>
          <w:tcPr>
            <w:tcW w:w="27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087" w:rsidRPr="00FF0087" w:rsidRDefault="00FF0087" w:rsidP="00FF0087">
            <w:pPr>
              <w:ind w:left="1418" w:hanging="1376"/>
              <w:jc w:val="both"/>
              <w:rPr>
                <w:rFonts w:eastAsiaTheme="minorHAnsi"/>
                <w:b/>
                <w:sz w:val="20"/>
                <w:szCs w:val="20"/>
                <w:lang w:eastAsia="en-US"/>
              </w:rPr>
            </w:pPr>
            <w:r>
              <w:rPr>
                <w:rFonts w:eastAsiaTheme="minorHAnsi"/>
                <w:b/>
                <w:sz w:val="20"/>
                <w:szCs w:val="20"/>
                <w:lang w:eastAsia="en-US"/>
              </w:rPr>
              <w:t>A</w:t>
            </w:r>
            <w:r w:rsidRPr="00FF0087">
              <w:rPr>
                <w:rFonts w:eastAsiaTheme="minorHAnsi"/>
                <w:b/>
                <w:sz w:val="20"/>
                <w:szCs w:val="20"/>
                <w:lang w:eastAsia="en-US"/>
              </w:rPr>
              <w:t>nnual income over £25,000</w:t>
            </w:r>
          </w:p>
        </w:tc>
      </w:tr>
      <w:tr w:rsidR="00FF0087" w:rsidRPr="00FF0087" w:rsidTr="00FF0087">
        <w:tc>
          <w:tcPr>
            <w:tcW w:w="2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087" w:rsidRPr="00FF0087" w:rsidRDefault="00FF0087" w:rsidP="00FF0087">
            <w:pPr>
              <w:ind w:left="1418" w:hanging="1405"/>
              <w:jc w:val="both"/>
              <w:rPr>
                <w:rFonts w:eastAsiaTheme="minorHAnsi"/>
                <w:b/>
                <w:sz w:val="20"/>
                <w:szCs w:val="20"/>
                <w:lang w:eastAsia="en-US"/>
              </w:rPr>
            </w:pPr>
            <w:r w:rsidRPr="00FF0087">
              <w:rPr>
                <w:rFonts w:eastAsiaTheme="minorHAnsi"/>
                <w:b/>
                <w:sz w:val="20"/>
                <w:szCs w:val="20"/>
                <w:lang w:eastAsia="en-US"/>
              </w:rPr>
              <w:t>Foundation Standard:</w:t>
            </w:r>
          </w:p>
        </w:tc>
        <w:tc>
          <w:tcPr>
            <w:tcW w:w="3095" w:type="dxa"/>
            <w:tcBorders>
              <w:top w:val="nil"/>
              <w:left w:val="nil"/>
              <w:bottom w:val="single" w:sz="8" w:space="0" w:color="auto"/>
              <w:right w:val="single" w:sz="8" w:space="0" w:color="auto"/>
            </w:tcBorders>
            <w:tcMar>
              <w:top w:w="0" w:type="dxa"/>
              <w:left w:w="108" w:type="dxa"/>
              <w:bottom w:w="0" w:type="dxa"/>
              <w:right w:w="108" w:type="dxa"/>
            </w:tcMar>
            <w:hideMark/>
          </w:tcPr>
          <w:p w:rsidR="00FF0087" w:rsidRPr="00FF0087" w:rsidRDefault="00FF0087" w:rsidP="00FF0087">
            <w:pPr>
              <w:ind w:left="1418"/>
              <w:jc w:val="both"/>
              <w:rPr>
                <w:rFonts w:eastAsiaTheme="minorHAnsi"/>
                <w:sz w:val="20"/>
                <w:szCs w:val="20"/>
                <w:lang w:eastAsia="en-US"/>
              </w:rPr>
            </w:pPr>
            <w:r w:rsidRPr="00FF0087">
              <w:rPr>
                <w:rFonts w:eastAsiaTheme="minorHAnsi"/>
                <w:sz w:val="20"/>
                <w:szCs w:val="20"/>
                <w:lang w:eastAsia="en-US"/>
              </w:rPr>
              <w:t>£50</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rsidR="00FF0087" w:rsidRPr="00FF0087" w:rsidRDefault="00FF0087" w:rsidP="00FF0087">
            <w:pPr>
              <w:ind w:left="1418"/>
              <w:jc w:val="both"/>
              <w:rPr>
                <w:rFonts w:eastAsiaTheme="minorHAnsi"/>
                <w:sz w:val="20"/>
                <w:szCs w:val="20"/>
                <w:lang w:eastAsia="en-US"/>
              </w:rPr>
            </w:pPr>
            <w:r w:rsidRPr="00FF0087">
              <w:rPr>
                <w:rFonts w:eastAsiaTheme="minorHAnsi"/>
                <w:sz w:val="20"/>
                <w:szCs w:val="20"/>
                <w:lang w:eastAsia="en-US"/>
              </w:rPr>
              <w:t>£80</w:t>
            </w:r>
          </w:p>
        </w:tc>
      </w:tr>
      <w:tr w:rsidR="00FF0087" w:rsidRPr="00FF0087" w:rsidTr="00FF0087">
        <w:tc>
          <w:tcPr>
            <w:tcW w:w="2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087" w:rsidRPr="00FF0087" w:rsidRDefault="00FF0087" w:rsidP="00FF0087">
            <w:pPr>
              <w:ind w:left="1418" w:hanging="1405"/>
              <w:jc w:val="both"/>
              <w:rPr>
                <w:rFonts w:eastAsiaTheme="minorHAnsi"/>
                <w:b/>
                <w:sz w:val="20"/>
                <w:szCs w:val="20"/>
                <w:lang w:eastAsia="en-US"/>
              </w:rPr>
            </w:pPr>
            <w:r w:rsidRPr="00FF0087">
              <w:rPr>
                <w:rFonts w:eastAsiaTheme="minorHAnsi"/>
                <w:b/>
                <w:sz w:val="20"/>
                <w:szCs w:val="20"/>
                <w:lang w:eastAsia="en-US"/>
              </w:rPr>
              <w:t xml:space="preserve">Quality Standard: </w:t>
            </w:r>
          </w:p>
        </w:tc>
        <w:tc>
          <w:tcPr>
            <w:tcW w:w="3095" w:type="dxa"/>
            <w:tcBorders>
              <w:top w:val="nil"/>
              <w:left w:val="nil"/>
              <w:bottom w:val="single" w:sz="8" w:space="0" w:color="auto"/>
              <w:right w:val="single" w:sz="8" w:space="0" w:color="auto"/>
            </w:tcBorders>
            <w:tcMar>
              <w:top w:w="0" w:type="dxa"/>
              <w:left w:w="108" w:type="dxa"/>
              <w:bottom w:w="0" w:type="dxa"/>
              <w:right w:w="108" w:type="dxa"/>
            </w:tcMar>
            <w:hideMark/>
          </w:tcPr>
          <w:p w:rsidR="00FF0087" w:rsidRPr="00FF0087" w:rsidRDefault="00FF0087" w:rsidP="00FF0087">
            <w:pPr>
              <w:ind w:left="1418"/>
              <w:jc w:val="both"/>
              <w:rPr>
                <w:rFonts w:eastAsiaTheme="minorHAnsi"/>
                <w:sz w:val="20"/>
                <w:szCs w:val="20"/>
                <w:lang w:eastAsia="en-US"/>
              </w:rPr>
            </w:pPr>
            <w:r w:rsidRPr="00FF0087">
              <w:rPr>
                <w:rFonts w:eastAsiaTheme="minorHAnsi"/>
                <w:sz w:val="20"/>
                <w:szCs w:val="20"/>
                <w:lang w:eastAsia="en-US"/>
              </w:rPr>
              <w:t>£80</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rsidR="00FF0087" w:rsidRPr="00FF0087" w:rsidRDefault="00FF0087" w:rsidP="00FF0087">
            <w:pPr>
              <w:ind w:left="1418"/>
              <w:jc w:val="both"/>
              <w:rPr>
                <w:rFonts w:eastAsiaTheme="minorHAnsi"/>
                <w:sz w:val="20"/>
                <w:szCs w:val="20"/>
                <w:lang w:eastAsia="en-US"/>
              </w:rPr>
            </w:pPr>
            <w:r w:rsidRPr="00FF0087">
              <w:rPr>
                <w:rFonts w:eastAsiaTheme="minorHAnsi"/>
                <w:sz w:val="20"/>
                <w:szCs w:val="20"/>
                <w:lang w:eastAsia="en-US"/>
              </w:rPr>
              <w:t>£100</w:t>
            </w:r>
          </w:p>
        </w:tc>
      </w:tr>
      <w:tr w:rsidR="00FF0087" w:rsidRPr="00FF0087" w:rsidTr="00FF0087">
        <w:tc>
          <w:tcPr>
            <w:tcW w:w="2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087" w:rsidRPr="00FF0087" w:rsidRDefault="00FF0087" w:rsidP="00FF0087">
            <w:pPr>
              <w:ind w:left="1418" w:hanging="1418"/>
              <w:jc w:val="both"/>
              <w:rPr>
                <w:rFonts w:eastAsiaTheme="minorHAnsi"/>
                <w:b/>
                <w:sz w:val="20"/>
                <w:szCs w:val="20"/>
                <w:lang w:eastAsia="en-US"/>
              </w:rPr>
            </w:pPr>
            <w:r w:rsidRPr="00FF0087">
              <w:rPr>
                <w:rFonts w:eastAsiaTheme="minorHAnsi"/>
                <w:b/>
                <w:sz w:val="20"/>
                <w:szCs w:val="20"/>
                <w:lang w:eastAsia="en-US"/>
              </w:rPr>
              <w:t xml:space="preserve">Quality Gold: </w:t>
            </w:r>
          </w:p>
        </w:tc>
        <w:tc>
          <w:tcPr>
            <w:tcW w:w="3095" w:type="dxa"/>
            <w:tcBorders>
              <w:top w:val="nil"/>
              <w:left w:val="nil"/>
              <w:bottom w:val="single" w:sz="8" w:space="0" w:color="auto"/>
              <w:right w:val="single" w:sz="8" w:space="0" w:color="auto"/>
            </w:tcBorders>
            <w:tcMar>
              <w:top w:w="0" w:type="dxa"/>
              <w:left w:w="108" w:type="dxa"/>
              <w:bottom w:w="0" w:type="dxa"/>
              <w:right w:w="108" w:type="dxa"/>
            </w:tcMar>
            <w:hideMark/>
          </w:tcPr>
          <w:p w:rsidR="00FF0087" w:rsidRPr="00FF0087" w:rsidRDefault="00FF0087" w:rsidP="00FF0087">
            <w:pPr>
              <w:ind w:left="1418"/>
              <w:jc w:val="both"/>
              <w:rPr>
                <w:rFonts w:eastAsiaTheme="minorHAnsi"/>
                <w:sz w:val="20"/>
                <w:szCs w:val="20"/>
                <w:lang w:eastAsia="en-US"/>
              </w:rPr>
            </w:pPr>
            <w:r w:rsidRPr="00FF0087">
              <w:rPr>
                <w:rFonts w:eastAsiaTheme="minorHAnsi"/>
                <w:sz w:val="20"/>
                <w:szCs w:val="20"/>
                <w:lang w:eastAsia="en-US"/>
              </w:rPr>
              <w:t>£100</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rsidR="00FF0087" w:rsidRPr="00FF0087" w:rsidRDefault="00FF0087" w:rsidP="00FF0087">
            <w:pPr>
              <w:ind w:left="1418"/>
              <w:jc w:val="both"/>
              <w:rPr>
                <w:rFonts w:eastAsiaTheme="minorHAnsi"/>
                <w:sz w:val="20"/>
                <w:szCs w:val="20"/>
                <w:lang w:eastAsia="en-US"/>
              </w:rPr>
            </w:pPr>
            <w:r w:rsidRPr="00FF0087">
              <w:rPr>
                <w:rFonts w:eastAsiaTheme="minorHAnsi"/>
                <w:sz w:val="20"/>
                <w:szCs w:val="20"/>
                <w:lang w:eastAsia="en-US"/>
              </w:rPr>
              <w:t>£200</w:t>
            </w:r>
          </w:p>
        </w:tc>
      </w:tr>
    </w:tbl>
    <w:p w:rsidR="00FF0087" w:rsidRDefault="00FF0087" w:rsidP="004A1B82">
      <w:pPr>
        <w:ind w:left="1418"/>
        <w:jc w:val="both"/>
        <w:rPr>
          <w:rFonts w:eastAsiaTheme="minorHAnsi"/>
          <w:lang w:eastAsia="en-US"/>
        </w:rPr>
      </w:pPr>
    </w:p>
    <w:p w:rsidR="00C46F9B" w:rsidRPr="00C46F9B" w:rsidRDefault="00587E18" w:rsidP="00C46F9B">
      <w:pPr>
        <w:ind w:left="1440"/>
        <w:jc w:val="both"/>
        <w:rPr>
          <w:b/>
          <w:i/>
        </w:rPr>
      </w:pPr>
      <w:r w:rsidRPr="001E1553">
        <w:rPr>
          <w:b/>
          <w:i/>
        </w:rPr>
        <w:t xml:space="preserve">Following discussion, councillors agreed to “RECOMMEND to Full Council” that </w:t>
      </w:r>
      <w:r w:rsidR="000B26FC">
        <w:rPr>
          <w:b/>
          <w:i/>
        </w:rPr>
        <w:t xml:space="preserve">BSTC </w:t>
      </w:r>
      <w:r w:rsidR="00695902">
        <w:rPr>
          <w:b/>
          <w:i/>
        </w:rPr>
        <w:t xml:space="preserve">goes for the Local Council Award </w:t>
      </w:r>
      <w:r w:rsidR="00BF2FA6">
        <w:rPr>
          <w:b/>
          <w:i/>
        </w:rPr>
        <w:t>Scheme</w:t>
      </w:r>
      <w:r w:rsidR="00695902">
        <w:rPr>
          <w:b/>
          <w:i/>
        </w:rPr>
        <w:t xml:space="preserve"> – Quality Award</w:t>
      </w:r>
      <w:r w:rsidR="00C46F9B" w:rsidRPr="00C46F9B">
        <w:rPr>
          <w:b/>
          <w:i/>
        </w:rPr>
        <w:t xml:space="preserve">. </w:t>
      </w:r>
    </w:p>
    <w:p w:rsidR="000B26FC" w:rsidRPr="00127595" w:rsidRDefault="000B26FC" w:rsidP="00587E18">
      <w:pPr>
        <w:ind w:left="1440"/>
        <w:jc w:val="both"/>
        <w:rPr>
          <w:b/>
          <w:i/>
          <w:sz w:val="16"/>
          <w:szCs w:val="16"/>
        </w:rPr>
      </w:pPr>
    </w:p>
    <w:p w:rsidR="000B26FC" w:rsidRDefault="000B26FC" w:rsidP="00587E18">
      <w:pPr>
        <w:ind w:left="1440"/>
        <w:jc w:val="both"/>
        <w:rPr>
          <w:b/>
          <w:i/>
        </w:rPr>
      </w:pPr>
    </w:p>
    <w:p w:rsidR="00B05A76" w:rsidRDefault="00B05A76" w:rsidP="00587E18">
      <w:pPr>
        <w:ind w:left="1440"/>
        <w:jc w:val="both"/>
        <w:rPr>
          <w:b/>
          <w:i/>
        </w:rPr>
      </w:pPr>
    </w:p>
    <w:p w:rsidR="00BF2FA6" w:rsidRDefault="00BF2FA6" w:rsidP="00587E18">
      <w:pPr>
        <w:ind w:left="1440"/>
        <w:jc w:val="both"/>
        <w:rPr>
          <w:b/>
          <w:i/>
        </w:rPr>
      </w:pPr>
    </w:p>
    <w:p w:rsidR="00253866" w:rsidRDefault="00253866" w:rsidP="00587E18">
      <w:pPr>
        <w:ind w:left="1440"/>
        <w:jc w:val="both"/>
        <w:rPr>
          <w:b/>
          <w:i/>
        </w:rPr>
      </w:pPr>
    </w:p>
    <w:p w:rsidR="00162885" w:rsidRDefault="00BF2FA6" w:rsidP="00463F4C">
      <w:pPr>
        <w:ind w:left="1440"/>
        <w:jc w:val="both"/>
        <w:rPr>
          <w:b/>
          <w:u w:val="single"/>
        </w:rPr>
      </w:pPr>
      <w:r>
        <w:rPr>
          <w:b/>
          <w:u w:val="single"/>
        </w:rPr>
        <w:t xml:space="preserve">Improvement of Acoustic Conditions at the Jubilee Centre and Baileys Court Activity Centre </w:t>
      </w:r>
      <w:r w:rsidR="00127595">
        <w:rPr>
          <w:b/>
          <w:u w:val="single"/>
        </w:rPr>
        <w:t>(N/C 9022)</w:t>
      </w:r>
    </w:p>
    <w:p w:rsidR="00DF320D" w:rsidRPr="00BF2FA6" w:rsidRDefault="00DF320D" w:rsidP="00463F4C">
      <w:pPr>
        <w:ind w:left="1440"/>
        <w:jc w:val="both"/>
        <w:rPr>
          <w:sz w:val="16"/>
          <w:szCs w:val="16"/>
        </w:rPr>
      </w:pPr>
    </w:p>
    <w:p w:rsidR="00BF2FA6" w:rsidRPr="00BF2FA6" w:rsidRDefault="00BF2FA6" w:rsidP="00BF2FA6">
      <w:pPr>
        <w:ind w:left="1418"/>
        <w:jc w:val="both"/>
        <w:rPr>
          <w:rFonts w:eastAsiaTheme="minorHAnsi"/>
          <w:color w:val="000000"/>
        </w:rPr>
      </w:pPr>
      <w:r w:rsidRPr="00BF2FA6">
        <w:rPr>
          <w:rFonts w:eastAsiaTheme="minorHAnsi"/>
          <w:color w:val="000000"/>
        </w:rPr>
        <w:t xml:space="preserve">The Town Council has been approached by Katy Mitchell, Teacher of the Deaf Sensory, Support Services, </w:t>
      </w:r>
      <w:proofErr w:type="gramStart"/>
      <w:r w:rsidRPr="00BF2FA6">
        <w:rPr>
          <w:rFonts w:eastAsiaTheme="minorHAnsi"/>
          <w:color w:val="000000"/>
        </w:rPr>
        <w:t>re</w:t>
      </w:r>
      <w:proofErr w:type="gramEnd"/>
      <w:r w:rsidRPr="00BF2FA6">
        <w:rPr>
          <w:rFonts w:eastAsiaTheme="minorHAnsi"/>
          <w:color w:val="000000"/>
        </w:rPr>
        <w:t>: trying to improve the acoustics in the Woodlands Suite.  She is working with two children at Little Acorns Pre-School with hearing aids who would benefit and there will be another child starting at Abacus Preschool in the Elm Room, Baileys Court. Also 25% of pre-school children suffer from glue ear at some stage. There are standards in place for schools but it is not a legal requirement for pre-schools but she sees that we are a proactive Council so thought it was worth asking.  Will possible involve acoustic boards on the ceiling/walls or possibly a suspended ceiling in the Woodlands Suite.</w:t>
      </w:r>
    </w:p>
    <w:p w:rsidR="00BF2FA6" w:rsidRPr="00BF2FA6" w:rsidRDefault="00BF2FA6" w:rsidP="00BF2FA6">
      <w:pPr>
        <w:ind w:left="1418"/>
        <w:jc w:val="both"/>
        <w:rPr>
          <w:rFonts w:eastAsiaTheme="minorHAnsi"/>
          <w:color w:val="000000"/>
          <w:sz w:val="16"/>
          <w:szCs w:val="16"/>
        </w:rPr>
      </w:pPr>
    </w:p>
    <w:p w:rsidR="00BF2FA6" w:rsidRPr="00BF2FA6" w:rsidRDefault="00BF2FA6" w:rsidP="00BF2FA6">
      <w:pPr>
        <w:ind w:left="1418"/>
        <w:jc w:val="both"/>
        <w:rPr>
          <w:rFonts w:eastAsiaTheme="minorHAnsi"/>
          <w:color w:val="000000"/>
        </w:rPr>
      </w:pPr>
      <w:r w:rsidRPr="00BF2FA6">
        <w:rPr>
          <w:rFonts w:eastAsiaTheme="minorHAnsi"/>
          <w:color w:val="000000"/>
        </w:rPr>
        <w:t xml:space="preserve">We are currently in discussion with two companies who are looking into the best ways to improve the acoustics in The Woodlands Suite, The Elm Room and The Oak Hall (we find the acoustics in this room difficult generally).  The Woodlands Suite looks the most difficult as the ceiling is so low and there is not much wall space.  </w:t>
      </w:r>
    </w:p>
    <w:p w:rsidR="00BF2FA6" w:rsidRPr="00BF2FA6" w:rsidRDefault="00BF2FA6" w:rsidP="00BF2FA6">
      <w:pPr>
        <w:ind w:left="1418"/>
        <w:jc w:val="both"/>
        <w:rPr>
          <w:rFonts w:eastAsiaTheme="minorHAnsi"/>
          <w:color w:val="000000"/>
          <w:sz w:val="16"/>
          <w:szCs w:val="16"/>
        </w:rPr>
      </w:pPr>
    </w:p>
    <w:p w:rsidR="00BF2FA6" w:rsidRPr="00BF2FA6" w:rsidRDefault="00BF2FA6" w:rsidP="00BF2FA6">
      <w:pPr>
        <w:ind w:left="1418"/>
        <w:jc w:val="both"/>
        <w:rPr>
          <w:rFonts w:eastAsiaTheme="minorHAnsi"/>
          <w:color w:val="000000"/>
        </w:rPr>
      </w:pPr>
      <w:r w:rsidRPr="00BF2FA6">
        <w:rPr>
          <w:rFonts w:eastAsiaTheme="minorHAnsi"/>
          <w:color w:val="000000"/>
        </w:rPr>
        <w:t>When these two companies have prepared their suggestions then we will get another matching quote.  If we do go ahead with any improvement should also improve the quality of the Council meeting recordings.</w:t>
      </w:r>
      <w:r w:rsidR="00DE5EE2">
        <w:rPr>
          <w:rFonts w:eastAsiaTheme="minorHAnsi"/>
          <w:color w:val="000000"/>
        </w:rPr>
        <w:t xml:space="preserve"> </w:t>
      </w:r>
      <w:r w:rsidRPr="00BF2FA6">
        <w:rPr>
          <w:rFonts w:eastAsiaTheme="minorHAnsi"/>
          <w:color w:val="000000"/>
        </w:rPr>
        <w:t>There is no indication of cost at present, a report will be prepared for Council when we have the details.</w:t>
      </w:r>
    </w:p>
    <w:p w:rsidR="00BF2FA6" w:rsidRPr="00DE5EE2" w:rsidRDefault="00BF2FA6" w:rsidP="00127595">
      <w:pPr>
        <w:ind w:left="1418"/>
        <w:jc w:val="both"/>
        <w:rPr>
          <w:rFonts w:eastAsiaTheme="minorHAnsi"/>
          <w:sz w:val="16"/>
          <w:szCs w:val="16"/>
          <w:lang w:val="en-US" w:eastAsia="en-US"/>
        </w:rPr>
      </w:pPr>
    </w:p>
    <w:p w:rsidR="00127595" w:rsidRDefault="00F47F5F" w:rsidP="00F47F5F">
      <w:pPr>
        <w:ind w:left="1440" w:hanging="1440"/>
        <w:jc w:val="both"/>
        <w:rPr>
          <w:b/>
          <w:i/>
        </w:rPr>
      </w:pPr>
      <w:r w:rsidRPr="00F47F5F">
        <w:rPr>
          <w:b/>
          <w:i/>
        </w:rPr>
        <w:tab/>
        <w:t xml:space="preserve">Following discussion, councillors agreed to “RECOMMEND to Full Council” that </w:t>
      </w:r>
      <w:r w:rsidR="00127595">
        <w:rPr>
          <w:b/>
          <w:i/>
        </w:rPr>
        <w:t xml:space="preserve">BSTC </w:t>
      </w:r>
      <w:r w:rsidR="007D1042">
        <w:rPr>
          <w:b/>
          <w:i/>
        </w:rPr>
        <w:t xml:space="preserve">investigates the installation of a new inductive loop system in the Oak Hall and acoustic improvements to the Woodlands Suite &amp; the Oak Hall, at the Jubilee </w:t>
      </w:r>
      <w:r w:rsidR="00940B42">
        <w:rPr>
          <w:b/>
          <w:i/>
        </w:rPr>
        <w:t>C</w:t>
      </w:r>
      <w:r w:rsidR="007D1042">
        <w:rPr>
          <w:b/>
          <w:i/>
        </w:rPr>
        <w:t xml:space="preserve">entre and the Elm Room at Baileys Court Activity Centre. </w:t>
      </w:r>
    </w:p>
    <w:p w:rsidR="00127595" w:rsidRDefault="00127595" w:rsidP="00F47F5F">
      <w:pPr>
        <w:ind w:left="1440" w:hanging="1440"/>
        <w:jc w:val="both"/>
        <w:rPr>
          <w:b/>
          <w:i/>
        </w:rPr>
      </w:pPr>
    </w:p>
    <w:p w:rsidR="009708CA" w:rsidRDefault="009708CA" w:rsidP="00F47F5F">
      <w:pPr>
        <w:ind w:left="1440" w:hanging="1440"/>
        <w:jc w:val="both"/>
        <w:rPr>
          <w:b/>
          <w:i/>
        </w:rPr>
      </w:pPr>
    </w:p>
    <w:p w:rsidR="009C679F" w:rsidRPr="001E1553" w:rsidRDefault="005C70B7" w:rsidP="009C679F">
      <w:pPr>
        <w:ind w:left="1440"/>
        <w:jc w:val="both"/>
        <w:rPr>
          <w:b/>
          <w:u w:val="single"/>
        </w:rPr>
      </w:pPr>
      <w:r>
        <w:rPr>
          <w:b/>
          <w:u w:val="single"/>
        </w:rPr>
        <w:t>Youth Development Focus linked to BSTC Forward Plan</w:t>
      </w:r>
    </w:p>
    <w:p w:rsidR="009C679F" w:rsidRPr="00E82BFE" w:rsidRDefault="00DE5EE2" w:rsidP="009C679F">
      <w:pPr>
        <w:rPr>
          <w:sz w:val="16"/>
          <w:szCs w:val="16"/>
        </w:rPr>
      </w:pPr>
      <w:r>
        <w:rPr>
          <w:sz w:val="16"/>
          <w:szCs w:val="16"/>
        </w:rPr>
        <w:tab/>
      </w:r>
      <w:r>
        <w:rPr>
          <w:sz w:val="16"/>
          <w:szCs w:val="16"/>
        </w:rPr>
        <w:tab/>
      </w:r>
    </w:p>
    <w:p w:rsidR="00DE5EE2" w:rsidRPr="00DE5EE2" w:rsidRDefault="00DE5EE2" w:rsidP="00DE5EE2">
      <w:pPr>
        <w:ind w:left="1418"/>
        <w:jc w:val="both"/>
      </w:pPr>
      <w:r w:rsidRPr="00DE5EE2">
        <w:t>It was highlighted how the Skatepark development has been a very positive and significant focus over the last two years, however, some projects have therefore been on the ‘back burner’, though still being developed.</w:t>
      </w:r>
    </w:p>
    <w:p w:rsidR="00DE5EE2" w:rsidRPr="00DE5EE2" w:rsidRDefault="00DE5EE2" w:rsidP="00DE5EE2">
      <w:pPr>
        <w:ind w:left="1418"/>
        <w:jc w:val="both"/>
        <w:rPr>
          <w:sz w:val="16"/>
          <w:szCs w:val="16"/>
        </w:rPr>
      </w:pPr>
    </w:p>
    <w:p w:rsidR="00DE5EE2" w:rsidRPr="00DE5EE2" w:rsidRDefault="00DE5EE2" w:rsidP="00DE5EE2">
      <w:pPr>
        <w:ind w:left="1418"/>
        <w:jc w:val="both"/>
      </w:pPr>
      <w:r w:rsidRPr="00DE5EE2">
        <w:t>Some of these projects are therefore now coming to fruition with important developmental work taking place with the school, South Gloucestershire Health Promotion, young people and various other agencies.</w:t>
      </w:r>
    </w:p>
    <w:p w:rsidR="00DE5EE2" w:rsidRPr="00DE5EE2" w:rsidRDefault="00DE5EE2" w:rsidP="00DE5EE2">
      <w:pPr>
        <w:ind w:left="1418"/>
        <w:jc w:val="both"/>
        <w:rPr>
          <w:sz w:val="16"/>
          <w:szCs w:val="16"/>
        </w:rPr>
      </w:pPr>
    </w:p>
    <w:p w:rsidR="00DE5EE2" w:rsidRPr="00DE5EE2" w:rsidRDefault="00DE5EE2" w:rsidP="00DE5EE2">
      <w:pPr>
        <w:ind w:left="1418"/>
        <w:jc w:val="both"/>
      </w:pPr>
      <w:r w:rsidRPr="00DE5EE2">
        <w:t>Importantly, some external funding has been rolled over to the current financial year for project implementation. This will include a pilot ‘Young Inspectors’ style project that trains young people to assess local services from a young person’s perspective. The initial focus will be on pharmacies, but then roll out to other agencies and services.</w:t>
      </w:r>
    </w:p>
    <w:p w:rsidR="00940B42" w:rsidRPr="00940B42" w:rsidRDefault="00940B42" w:rsidP="00DE5EE2">
      <w:pPr>
        <w:ind w:left="1418"/>
        <w:jc w:val="both"/>
        <w:rPr>
          <w:sz w:val="16"/>
          <w:szCs w:val="16"/>
        </w:rPr>
      </w:pPr>
    </w:p>
    <w:p w:rsidR="00DE5EE2" w:rsidRPr="00DE5EE2" w:rsidRDefault="00DE5EE2" w:rsidP="00DE5EE2">
      <w:pPr>
        <w:ind w:left="1418"/>
        <w:jc w:val="both"/>
      </w:pPr>
      <w:r w:rsidRPr="00DE5EE2">
        <w:t>The Skatepark has proven to be not only an important infrastructure project, but a wide ranging example of young people’s active citizenship, involvement and participation over a significant period of time in shaping and implementing a key local project. This has helped enable a climate where young people, even if not directly involved, have seen how young people’s voices have been heard and acted upon and therefore feel that their potential engagement in other youth work projects could also bring about change and that positive things can be done.</w:t>
      </w:r>
    </w:p>
    <w:p w:rsidR="00DE5EE2" w:rsidRPr="00DE5EE2" w:rsidRDefault="00DE5EE2" w:rsidP="00DE5EE2">
      <w:pPr>
        <w:ind w:left="1418"/>
        <w:jc w:val="both"/>
        <w:rPr>
          <w:sz w:val="16"/>
          <w:szCs w:val="16"/>
        </w:rPr>
      </w:pPr>
    </w:p>
    <w:p w:rsidR="00DE5EE2" w:rsidRPr="00DE5EE2" w:rsidRDefault="00DE5EE2" w:rsidP="00DE5EE2">
      <w:pPr>
        <w:ind w:left="1418"/>
        <w:jc w:val="both"/>
      </w:pPr>
      <w:r w:rsidRPr="00DE5EE2">
        <w:t xml:space="preserve">Another aspiration in the 5 year plan is associational places for young people and the possibility of expanding accommodation at the Skatepark, to address some of this need, was discussed. This would provide a location for additional youth project work and programmes and ‘weatherproof’ certain other youth activities. </w:t>
      </w:r>
    </w:p>
    <w:p w:rsidR="00DE5EE2" w:rsidRPr="00DE5EE2" w:rsidRDefault="00DE5EE2" w:rsidP="00DE5EE2">
      <w:pPr>
        <w:ind w:left="1418"/>
        <w:jc w:val="both"/>
        <w:rPr>
          <w:sz w:val="16"/>
          <w:szCs w:val="16"/>
        </w:rPr>
      </w:pPr>
    </w:p>
    <w:p w:rsidR="00DE5EE2" w:rsidRPr="00DE5EE2" w:rsidRDefault="00DE5EE2" w:rsidP="00DE5EE2">
      <w:pPr>
        <w:ind w:left="1418"/>
        <w:jc w:val="both"/>
        <w:rPr>
          <w:sz w:val="16"/>
          <w:szCs w:val="16"/>
        </w:rPr>
      </w:pPr>
    </w:p>
    <w:p w:rsidR="00DE5EE2" w:rsidRPr="00DE5EE2" w:rsidRDefault="00DE5EE2" w:rsidP="00DE5EE2">
      <w:pPr>
        <w:ind w:left="1418"/>
        <w:jc w:val="both"/>
      </w:pPr>
      <w:r w:rsidRPr="00DE5EE2">
        <w:t>Another key aspect of the plan that will help enshrine young people’s involvement and ‘voice’ is the aspiration for a ‘local youth charter’. This will involve working with a range of agencies, including working with the local secondary school, scouts, church youth groups and young people through BSTC youth projects and programmes.</w:t>
      </w:r>
    </w:p>
    <w:p w:rsidR="00DE5EE2" w:rsidRPr="00DE5EE2" w:rsidRDefault="00DE5EE2" w:rsidP="00DE5EE2">
      <w:pPr>
        <w:ind w:left="1418"/>
        <w:jc w:val="both"/>
        <w:rPr>
          <w:sz w:val="16"/>
          <w:szCs w:val="16"/>
        </w:rPr>
      </w:pPr>
    </w:p>
    <w:p w:rsidR="00DE5EE2" w:rsidRPr="00DE5EE2" w:rsidRDefault="00DE5EE2" w:rsidP="00DE5EE2">
      <w:pPr>
        <w:ind w:left="1418"/>
        <w:jc w:val="both"/>
      </w:pPr>
      <w:r w:rsidRPr="00DE5EE2">
        <w:t>To continue to explore a potential umbrella model for local youth work/youth provision developments, including the possibility of a youth trust or other similar model that encourages greater cooperative working.</w:t>
      </w:r>
    </w:p>
    <w:p w:rsidR="00DE5EE2" w:rsidRPr="00DE5EE2" w:rsidRDefault="00DE5EE2" w:rsidP="00DE5EE2">
      <w:pPr>
        <w:ind w:left="1418"/>
        <w:jc w:val="both"/>
        <w:rPr>
          <w:sz w:val="16"/>
          <w:szCs w:val="16"/>
        </w:rPr>
      </w:pPr>
    </w:p>
    <w:p w:rsidR="00DE5EE2" w:rsidRPr="00DE5EE2" w:rsidRDefault="00DE5EE2" w:rsidP="00DE5EE2">
      <w:pPr>
        <w:ind w:left="1418"/>
        <w:jc w:val="both"/>
      </w:pPr>
      <w:r w:rsidRPr="00DE5EE2">
        <w:t>To recruit some part time youth work staff from existing funding to assist with the implementation of agreed youth projects and programmes.</w:t>
      </w:r>
    </w:p>
    <w:p w:rsidR="00DE5EE2" w:rsidRPr="00DE5EE2" w:rsidRDefault="00DE5EE2" w:rsidP="00DE5EE2">
      <w:pPr>
        <w:ind w:left="1418"/>
        <w:jc w:val="both"/>
        <w:rPr>
          <w:sz w:val="16"/>
          <w:szCs w:val="16"/>
        </w:rPr>
      </w:pPr>
    </w:p>
    <w:p w:rsidR="00DE5EE2" w:rsidRPr="00DE5EE2" w:rsidRDefault="00DE5EE2" w:rsidP="00DE5EE2">
      <w:pPr>
        <w:ind w:left="1418"/>
        <w:jc w:val="both"/>
      </w:pPr>
      <w:r w:rsidRPr="00DE5EE2">
        <w:t>Also discussed YD&amp;PW involvement in S</w:t>
      </w:r>
      <w:r w:rsidR="00940B42">
        <w:t xml:space="preserve">outh </w:t>
      </w:r>
      <w:r w:rsidRPr="00DE5EE2">
        <w:t>G</w:t>
      </w:r>
      <w:r w:rsidR="00940B42">
        <w:t>loucestershire</w:t>
      </w:r>
      <w:r w:rsidRPr="00DE5EE2">
        <w:t xml:space="preserve"> steering group looking at the administration and allocation processes for </w:t>
      </w:r>
      <w:r w:rsidR="00940B42">
        <w:t>c</w:t>
      </w:r>
      <w:r w:rsidRPr="00DE5EE2">
        <w:t>urrent Positive Activity Subsidy funding. GB also raised issue of discussion around potential delivery models.</w:t>
      </w:r>
    </w:p>
    <w:p w:rsidR="009C679F" w:rsidRPr="00E82BFE" w:rsidRDefault="009C679F" w:rsidP="009C679F">
      <w:pPr>
        <w:ind w:left="1440"/>
        <w:jc w:val="both"/>
        <w:rPr>
          <w:sz w:val="16"/>
          <w:szCs w:val="16"/>
        </w:rPr>
      </w:pPr>
    </w:p>
    <w:p w:rsidR="000D005B" w:rsidRDefault="000D005B" w:rsidP="000D005B">
      <w:pPr>
        <w:ind w:left="1440"/>
        <w:jc w:val="both"/>
        <w:rPr>
          <w:b/>
          <w:i/>
        </w:rPr>
      </w:pPr>
      <w:r w:rsidRPr="00F47F5F">
        <w:rPr>
          <w:b/>
          <w:i/>
        </w:rPr>
        <w:t xml:space="preserve">Following discussion, councillors agreed to “RECOMMEND to Full Council” that </w:t>
      </w:r>
      <w:r>
        <w:rPr>
          <w:b/>
          <w:i/>
        </w:rPr>
        <w:t>BSTC employ 2 x part-time youth workers with funded from allocated budgets Youth Core Expenditure (N/C 5500) and Positive Youth Activities Expenditure (N/C 5503A)</w:t>
      </w:r>
    </w:p>
    <w:p w:rsidR="000D005B" w:rsidRPr="00DE5EE2" w:rsidRDefault="000D005B" w:rsidP="000D005B">
      <w:pPr>
        <w:ind w:left="1440" w:hanging="1440"/>
        <w:jc w:val="both"/>
        <w:rPr>
          <w:b/>
          <w:i/>
          <w:sz w:val="16"/>
          <w:szCs w:val="16"/>
        </w:rPr>
      </w:pPr>
    </w:p>
    <w:p w:rsidR="009C679F" w:rsidRDefault="000D005B" w:rsidP="000D005B">
      <w:pPr>
        <w:ind w:left="1440"/>
        <w:jc w:val="both"/>
        <w:rPr>
          <w:b/>
          <w:i/>
        </w:rPr>
      </w:pPr>
      <w:r>
        <w:rPr>
          <w:b/>
          <w:i/>
        </w:rPr>
        <w:t xml:space="preserve">Following further discussion, councillors agreed to “RECOMMEND to Full Council” that BSTC use up to £30,000 from </w:t>
      </w:r>
      <w:r w:rsidR="009C0C61">
        <w:rPr>
          <w:b/>
          <w:i/>
        </w:rPr>
        <w:t xml:space="preserve">the Youth Provision Reserve </w:t>
      </w:r>
      <w:r>
        <w:rPr>
          <w:b/>
          <w:i/>
        </w:rPr>
        <w:t xml:space="preserve">budget </w:t>
      </w:r>
      <w:r w:rsidR="009C0C61">
        <w:rPr>
          <w:b/>
          <w:i/>
        </w:rPr>
        <w:t>(</w:t>
      </w:r>
      <w:r>
        <w:rPr>
          <w:b/>
          <w:i/>
        </w:rPr>
        <w:t>N/C 3079</w:t>
      </w:r>
      <w:r w:rsidR="009C0C61">
        <w:rPr>
          <w:b/>
          <w:i/>
        </w:rPr>
        <w:t>)</w:t>
      </w:r>
      <w:r>
        <w:rPr>
          <w:b/>
          <w:i/>
        </w:rPr>
        <w:t xml:space="preserve"> for further development of additional facilities at the Skatepark with external funding opportunities being explored by Youth </w:t>
      </w:r>
      <w:r w:rsidR="009C0C61">
        <w:rPr>
          <w:b/>
          <w:i/>
        </w:rPr>
        <w:t>P</w:t>
      </w:r>
      <w:r>
        <w:rPr>
          <w:b/>
          <w:i/>
        </w:rPr>
        <w:t xml:space="preserve">articipation &amp; </w:t>
      </w:r>
      <w:r w:rsidR="009C0C61">
        <w:rPr>
          <w:b/>
          <w:i/>
        </w:rPr>
        <w:t>D</w:t>
      </w:r>
      <w:r>
        <w:rPr>
          <w:b/>
          <w:i/>
        </w:rPr>
        <w:t xml:space="preserve">evelopment </w:t>
      </w:r>
      <w:r w:rsidR="009C0C61">
        <w:rPr>
          <w:b/>
          <w:i/>
        </w:rPr>
        <w:t>Worker</w:t>
      </w:r>
      <w:r w:rsidR="009C679F">
        <w:rPr>
          <w:b/>
          <w:i/>
        </w:rPr>
        <w:t>.</w:t>
      </w:r>
    </w:p>
    <w:p w:rsidR="008006DD" w:rsidRDefault="008006DD" w:rsidP="00F47F5F">
      <w:pPr>
        <w:ind w:left="1440" w:hanging="1440"/>
        <w:jc w:val="both"/>
        <w:rPr>
          <w:b/>
          <w:i/>
        </w:rPr>
      </w:pPr>
    </w:p>
    <w:p w:rsidR="002255C6" w:rsidRDefault="002255C6" w:rsidP="00F47F5F">
      <w:pPr>
        <w:ind w:left="1440" w:hanging="1440"/>
        <w:jc w:val="both"/>
        <w:rPr>
          <w:b/>
          <w:i/>
        </w:rPr>
      </w:pPr>
    </w:p>
    <w:p w:rsidR="002255C6" w:rsidRPr="001E1553" w:rsidRDefault="0084651D" w:rsidP="002255C6">
      <w:pPr>
        <w:ind w:left="1440"/>
        <w:jc w:val="both"/>
        <w:rPr>
          <w:b/>
          <w:u w:val="single"/>
        </w:rPr>
      </w:pPr>
      <w:r>
        <w:rPr>
          <w:b/>
          <w:u w:val="single"/>
        </w:rPr>
        <w:t>Community Festival 2018</w:t>
      </w:r>
    </w:p>
    <w:p w:rsidR="002255C6" w:rsidRPr="00E82BFE" w:rsidRDefault="002255C6" w:rsidP="002255C6">
      <w:pPr>
        <w:rPr>
          <w:sz w:val="16"/>
          <w:szCs w:val="16"/>
        </w:rPr>
      </w:pPr>
    </w:p>
    <w:p w:rsidR="002255C6" w:rsidRDefault="002255C6" w:rsidP="002255C6">
      <w:pPr>
        <w:ind w:left="1440"/>
        <w:jc w:val="both"/>
      </w:pPr>
      <w:r>
        <w:t xml:space="preserve">Discussion took place on the Bradley Stoke </w:t>
      </w:r>
      <w:r w:rsidR="0084651D">
        <w:t>Community Festival event due to take place in 2018 and the need to refresh the event, including combining the festival with the carnival.</w:t>
      </w:r>
      <w:r>
        <w:t xml:space="preserve"> </w:t>
      </w:r>
    </w:p>
    <w:p w:rsidR="002255C6" w:rsidRPr="00E82BFE" w:rsidRDefault="002255C6" w:rsidP="002255C6">
      <w:pPr>
        <w:ind w:left="1440"/>
        <w:jc w:val="both"/>
        <w:rPr>
          <w:sz w:val="16"/>
          <w:szCs w:val="16"/>
        </w:rPr>
      </w:pPr>
    </w:p>
    <w:p w:rsidR="00AB4EF1" w:rsidRPr="00EE5AD4" w:rsidRDefault="002255C6" w:rsidP="002255C6">
      <w:pPr>
        <w:ind w:left="1440"/>
        <w:jc w:val="both"/>
        <w:rPr>
          <w:b/>
          <w:i/>
          <w:sz w:val="22"/>
          <w:szCs w:val="22"/>
        </w:rPr>
      </w:pPr>
      <w:r w:rsidRPr="001E1553">
        <w:rPr>
          <w:b/>
          <w:i/>
        </w:rPr>
        <w:t xml:space="preserve">Following discussion, councillors agreed to “RECOMMEND to Full Council” that </w:t>
      </w:r>
      <w:r w:rsidR="00AB4EF1">
        <w:rPr>
          <w:b/>
          <w:i/>
        </w:rPr>
        <w:t xml:space="preserve">BSTC amalgamate the Carnival and Festival for 2018, moving £4,000 from the Community Development Grant budget (N/C 5074) to the Community Events budget (N/C 5087) with that £4,000 being ring-fenced for council spending approval, with the event being put out to tender and keeping the tender wording broader i.e. </w:t>
      </w:r>
      <w:r w:rsidR="00EE5AD4" w:rsidRPr="00EE5AD4">
        <w:rPr>
          <w:b/>
          <w:i/>
          <w:sz w:val="22"/>
          <w:szCs w:val="22"/>
        </w:rPr>
        <w:t>“</w:t>
      </w:r>
      <w:r w:rsidR="00AB4EF1" w:rsidRPr="00EE5AD4">
        <w:rPr>
          <w:b/>
          <w:i/>
          <w:sz w:val="22"/>
          <w:szCs w:val="22"/>
        </w:rPr>
        <w:t>a 3 day themed event to incorporate community involvement across 3 sites with the main event focused at The Jubilee Centre with a budget circa £21,000.</w:t>
      </w:r>
      <w:r w:rsidR="00EE5AD4" w:rsidRPr="00EE5AD4">
        <w:rPr>
          <w:b/>
          <w:i/>
          <w:sz w:val="22"/>
          <w:szCs w:val="22"/>
        </w:rPr>
        <w:t>”</w:t>
      </w:r>
    </w:p>
    <w:p w:rsidR="00AB4EF1" w:rsidRDefault="00AB4EF1" w:rsidP="002255C6">
      <w:pPr>
        <w:ind w:left="1440"/>
        <w:jc w:val="both"/>
        <w:rPr>
          <w:b/>
          <w:i/>
        </w:rPr>
      </w:pPr>
    </w:p>
    <w:p w:rsidR="002B67AD" w:rsidRDefault="002B67AD" w:rsidP="00F47F5F">
      <w:pPr>
        <w:ind w:left="1440" w:hanging="1440"/>
        <w:jc w:val="both"/>
        <w:rPr>
          <w:b/>
          <w:i/>
        </w:rPr>
      </w:pPr>
    </w:p>
    <w:p w:rsidR="008006DD" w:rsidRPr="005A6A93" w:rsidRDefault="00F2572E" w:rsidP="008006DD">
      <w:pPr>
        <w:ind w:left="1440"/>
        <w:jc w:val="both"/>
        <w:rPr>
          <w:b/>
          <w:u w:val="single"/>
        </w:rPr>
      </w:pPr>
      <w:r>
        <w:rPr>
          <w:b/>
          <w:u w:val="single"/>
        </w:rPr>
        <w:t xml:space="preserve">Replacement of existing floodlights with LED units on the hardcourts at the Jubilee Centre </w:t>
      </w:r>
      <w:r w:rsidR="009035B4" w:rsidRPr="005A6A93">
        <w:rPr>
          <w:b/>
          <w:u w:val="single"/>
        </w:rPr>
        <w:t xml:space="preserve">(N/C </w:t>
      </w:r>
      <w:r>
        <w:rPr>
          <w:b/>
          <w:u w:val="single"/>
        </w:rPr>
        <w:t>3082</w:t>
      </w:r>
      <w:r w:rsidR="009035B4" w:rsidRPr="005A6A93">
        <w:rPr>
          <w:b/>
          <w:u w:val="single"/>
        </w:rPr>
        <w:t>)</w:t>
      </w:r>
    </w:p>
    <w:p w:rsidR="008006DD" w:rsidRPr="005A6A93" w:rsidRDefault="008006DD" w:rsidP="008006DD">
      <w:pPr>
        <w:ind w:left="1440"/>
        <w:jc w:val="both"/>
        <w:rPr>
          <w:b/>
          <w:sz w:val="16"/>
          <w:szCs w:val="16"/>
          <w:u w:val="single"/>
        </w:rPr>
      </w:pPr>
    </w:p>
    <w:p w:rsidR="00F2572E" w:rsidRDefault="00F2572E" w:rsidP="00E82BFE">
      <w:pPr>
        <w:ind w:left="1440"/>
        <w:jc w:val="both"/>
      </w:pPr>
      <w:r>
        <w:t xml:space="preserve">As part of the green budget, BSTC is continuing to replace the lights around all sites with more cost-effective LED units. It is an aspiration to install LED lights on the hardcourts at </w:t>
      </w:r>
      <w:r w:rsidR="0084651D">
        <w:t>The</w:t>
      </w:r>
      <w:r>
        <w:t xml:space="preserve"> </w:t>
      </w:r>
      <w:r w:rsidR="0084651D">
        <w:t>J</w:t>
      </w:r>
      <w:r>
        <w:t xml:space="preserve">ubilee Centre to increase the cost savings. </w:t>
      </w:r>
    </w:p>
    <w:p w:rsidR="000D005B" w:rsidRPr="000D005B" w:rsidRDefault="00D630F1" w:rsidP="000D005B">
      <w:pPr>
        <w:ind w:left="1440" w:hanging="1440"/>
        <w:jc w:val="both"/>
        <w:rPr>
          <w:b/>
          <w:i/>
          <w:sz w:val="16"/>
          <w:szCs w:val="16"/>
        </w:rPr>
      </w:pPr>
      <w:r w:rsidRPr="000D005B">
        <w:rPr>
          <w:sz w:val="16"/>
          <w:szCs w:val="16"/>
        </w:rPr>
        <w:tab/>
      </w:r>
    </w:p>
    <w:p w:rsidR="000D005B" w:rsidRPr="000D005B" w:rsidRDefault="000D005B" w:rsidP="000D005B">
      <w:pPr>
        <w:ind w:left="1440"/>
        <w:jc w:val="both"/>
        <w:rPr>
          <w:b/>
          <w:i/>
        </w:rPr>
      </w:pPr>
      <w:r w:rsidRPr="001E1553">
        <w:rPr>
          <w:b/>
          <w:i/>
        </w:rPr>
        <w:t xml:space="preserve">Following discussion, </w:t>
      </w:r>
      <w:r w:rsidRPr="000D005B">
        <w:rPr>
          <w:b/>
          <w:i/>
        </w:rPr>
        <w:t>Councillors agreed to “RECOMMEND to Full Council” that BSTC spend up to £5,500 from the Green Resource budget reserve (N/C 3082) with the green budget being revisited later in the year for reimbursement.</w:t>
      </w:r>
    </w:p>
    <w:p w:rsidR="0047044C" w:rsidRDefault="0047044C" w:rsidP="00D630F1">
      <w:pPr>
        <w:ind w:left="1440" w:hanging="1440"/>
        <w:jc w:val="both"/>
        <w:rPr>
          <w:b/>
          <w:i/>
        </w:rPr>
      </w:pPr>
    </w:p>
    <w:p w:rsidR="00DE5EE2" w:rsidRDefault="00DE5EE2" w:rsidP="00D630F1">
      <w:pPr>
        <w:ind w:left="1440" w:hanging="1440"/>
        <w:jc w:val="both"/>
        <w:rPr>
          <w:b/>
          <w:i/>
        </w:rPr>
      </w:pPr>
    </w:p>
    <w:p w:rsidR="00DE5EE2" w:rsidRDefault="00DE5EE2" w:rsidP="00D630F1">
      <w:pPr>
        <w:ind w:left="1440" w:hanging="1440"/>
        <w:jc w:val="both"/>
        <w:rPr>
          <w:b/>
          <w:i/>
        </w:rPr>
      </w:pPr>
    </w:p>
    <w:p w:rsidR="00DE5EE2" w:rsidRPr="00DE5EE2" w:rsidRDefault="00DE5EE2" w:rsidP="0076280E">
      <w:pPr>
        <w:ind w:left="1440"/>
        <w:jc w:val="both"/>
        <w:rPr>
          <w:b/>
          <w:sz w:val="16"/>
          <w:szCs w:val="16"/>
          <w:u w:val="single"/>
        </w:rPr>
      </w:pPr>
    </w:p>
    <w:p w:rsidR="0076280E" w:rsidRPr="005A6A93" w:rsidRDefault="00F2572E" w:rsidP="0076280E">
      <w:pPr>
        <w:ind w:left="1440"/>
        <w:jc w:val="both"/>
        <w:rPr>
          <w:b/>
          <w:u w:val="single"/>
        </w:rPr>
      </w:pPr>
      <w:r>
        <w:rPr>
          <w:b/>
          <w:u w:val="single"/>
        </w:rPr>
        <w:t>Purchase of Cricket Wicket maintenance equipment</w:t>
      </w:r>
    </w:p>
    <w:p w:rsidR="0076280E" w:rsidRPr="005A6A93" w:rsidRDefault="0076280E" w:rsidP="0076280E">
      <w:pPr>
        <w:ind w:left="1440"/>
        <w:jc w:val="both"/>
        <w:rPr>
          <w:b/>
          <w:sz w:val="16"/>
          <w:szCs w:val="16"/>
          <w:u w:val="single"/>
        </w:rPr>
      </w:pPr>
    </w:p>
    <w:p w:rsidR="00F2572E" w:rsidRDefault="00F2572E" w:rsidP="00A4219F">
      <w:pPr>
        <w:ind w:left="1440"/>
        <w:jc w:val="both"/>
      </w:pPr>
      <w:r>
        <w:t>As the maintenance of the cricket wickets is now being undertaken on a local level (which has made a significant saving on costs), there has been a need to purchase a number of pieces of equipment to assist in this work. There is currently no specific budget available for purchasing equipment.</w:t>
      </w:r>
    </w:p>
    <w:p w:rsidR="0076280E" w:rsidRPr="005A6A93" w:rsidRDefault="0076280E" w:rsidP="0076280E">
      <w:pPr>
        <w:ind w:left="1440"/>
        <w:jc w:val="both"/>
        <w:rPr>
          <w:sz w:val="16"/>
          <w:szCs w:val="16"/>
        </w:rPr>
      </w:pPr>
    </w:p>
    <w:p w:rsidR="0076280E" w:rsidRDefault="0076280E" w:rsidP="0076280E">
      <w:pPr>
        <w:ind w:left="1440" w:hanging="1440"/>
        <w:jc w:val="both"/>
        <w:rPr>
          <w:b/>
          <w:i/>
        </w:rPr>
      </w:pPr>
      <w:r>
        <w:tab/>
      </w:r>
      <w:r w:rsidRPr="00F47F5F">
        <w:rPr>
          <w:b/>
          <w:i/>
        </w:rPr>
        <w:t xml:space="preserve">Following discussion, councillors agreed to “RECOMMEND to Full Council” that </w:t>
      </w:r>
      <w:r>
        <w:rPr>
          <w:b/>
          <w:i/>
        </w:rPr>
        <w:t xml:space="preserve">BSTC </w:t>
      </w:r>
      <w:r w:rsidR="00F2572E">
        <w:rPr>
          <w:b/>
          <w:i/>
        </w:rPr>
        <w:t xml:space="preserve">set up a Sports Ground Maintenance Equipment budget reserve of £3,000 from 2017/18. </w:t>
      </w:r>
    </w:p>
    <w:p w:rsidR="0076280E" w:rsidRDefault="0076280E" w:rsidP="008006DD"/>
    <w:p w:rsidR="0076280E" w:rsidRDefault="0076280E" w:rsidP="008006DD"/>
    <w:p w:rsidR="008006DD" w:rsidRDefault="00E82BFE" w:rsidP="008006DD">
      <w:r>
        <w:t xml:space="preserve">Other </w:t>
      </w:r>
      <w:r w:rsidR="0076280E">
        <w:t>a</w:t>
      </w:r>
      <w:r>
        <w:t xml:space="preserve">reas </w:t>
      </w:r>
      <w:r w:rsidR="0076280E">
        <w:t xml:space="preserve">very </w:t>
      </w:r>
      <w:r>
        <w:t>briefly discussed, but no recommendations made</w:t>
      </w:r>
    </w:p>
    <w:p w:rsidR="00E82BFE" w:rsidRPr="007D1042" w:rsidRDefault="00E82BFE" w:rsidP="009D07F1">
      <w:pPr>
        <w:pStyle w:val="ListParagraph"/>
        <w:numPr>
          <w:ilvl w:val="0"/>
          <w:numId w:val="10"/>
        </w:numPr>
        <w:spacing w:after="0" w:line="240" w:lineRule="auto"/>
        <w:ind w:left="714" w:hanging="357"/>
        <w:rPr>
          <w:rFonts w:ascii="Times New Roman" w:hAnsi="Times New Roman"/>
          <w:sz w:val="24"/>
          <w:szCs w:val="24"/>
        </w:rPr>
      </w:pPr>
      <w:r w:rsidRPr="007D1042">
        <w:rPr>
          <w:rFonts w:ascii="Times New Roman" w:hAnsi="Times New Roman"/>
          <w:sz w:val="24"/>
          <w:szCs w:val="24"/>
        </w:rPr>
        <w:t xml:space="preserve">Possible </w:t>
      </w:r>
      <w:r w:rsidR="007D1042" w:rsidRPr="007D1042">
        <w:rPr>
          <w:rFonts w:ascii="Times New Roman" w:hAnsi="Times New Roman"/>
          <w:sz w:val="24"/>
          <w:szCs w:val="24"/>
        </w:rPr>
        <w:t xml:space="preserve">provision of street lighting at </w:t>
      </w:r>
      <w:r w:rsidR="007D1042">
        <w:rPr>
          <w:rFonts w:ascii="Times New Roman" w:hAnsi="Times New Roman"/>
          <w:sz w:val="24"/>
          <w:szCs w:val="24"/>
        </w:rPr>
        <w:t>T</w:t>
      </w:r>
      <w:r w:rsidR="007D1042" w:rsidRPr="007D1042">
        <w:rPr>
          <w:rFonts w:ascii="Times New Roman" w:hAnsi="Times New Roman"/>
          <w:sz w:val="24"/>
          <w:szCs w:val="24"/>
        </w:rPr>
        <w:t xml:space="preserve">he Common </w:t>
      </w:r>
      <w:r w:rsidR="007D1042">
        <w:rPr>
          <w:rFonts w:ascii="Times New Roman" w:hAnsi="Times New Roman"/>
          <w:sz w:val="24"/>
          <w:szCs w:val="24"/>
        </w:rPr>
        <w:t>E</w:t>
      </w:r>
      <w:r w:rsidR="007D1042" w:rsidRPr="007D1042">
        <w:rPr>
          <w:rFonts w:ascii="Times New Roman" w:hAnsi="Times New Roman"/>
          <w:sz w:val="24"/>
          <w:szCs w:val="24"/>
        </w:rPr>
        <w:t>ast</w:t>
      </w:r>
    </w:p>
    <w:p w:rsidR="00E82BFE" w:rsidRDefault="00E82BFE" w:rsidP="008006DD">
      <w:r>
        <w:t xml:space="preserve"> </w:t>
      </w:r>
    </w:p>
    <w:p w:rsidR="0047380A" w:rsidRDefault="0047380A" w:rsidP="009714A3">
      <w:pPr>
        <w:jc w:val="center"/>
        <w:outlineLvl w:val="0"/>
        <w:rPr>
          <w:b/>
          <w:sz w:val="36"/>
          <w:szCs w:val="36"/>
        </w:rPr>
      </w:pPr>
    </w:p>
    <w:p w:rsidR="0047380A" w:rsidRDefault="0047380A" w:rsidP="009714A3">
      <w:pPr>
        <w:jc w:val="center"/>
        <w:outlineLvl w:val="0"/>
        <w:rPr>
          <w:b/>
          <w:sz w:val="36"/>
          <w:szCs w:val="36"/>
        </w:rPr>
      </w:pPr>
    </w:p>
    <w:p w:rsidR="0047380A" w:rsidRDefault="0047380A" w:rsidP="009714A3">
      <w:pPr>
        <w:jc w:val="center"/>
        <w:outlineLvl w:val="0"/>
        <w:rPr>
          <w:b/>
          <w:sz w:val="36"/>
          <w:szCs w:val="36"/>
        </w:rPr>
      </w:pPr>
    </w:p>
    <w:p w:rsidR="0047380A" w:rsidRDefault="0047380A" w:rsidP="009714A3">
      <w:pPr>
        <w:jc w:val="center"/>
        <w:outlineLvl w:val="0"/>
        <w:rPr>
          <w:b/>
          <w:sz w:val="36"/>
          <w:szCs w:val="36"/>
        </w:rPr>
      </w:pPr>
    </w:p>
    <w:p w:rsidR="0047380A" w:rsidRDefault="0047380A" w:rsidP="009714A3">
      <w:pPr>
        <w:jc w:val="center"/>
        <w:outlineLvl w:val="0"/>
        <w:rPr>
          <w:b/>
          <w:sz w:val="36"/>
          <w:szCs w:val="36"/>
        </w:rPr>
      </w:pPr>
    </w:p>
    <w:p w:rsidR="0047380A" w:rsidRDefault="0047380A" w:rsidP="009714A3">
      <w:pPr>
        <w:jc w:val="center"/>
        <w:outlineLvl w:val="0"/>
        <w:rPr>
          <w:b/>
          <w:sz w:val="36"/>
          <w:szCs w:val="36"/>
        </w:rPr>
      </w:pPr>
    </w:p>
    <w:p w:rsidR="0047380A" w:rsidRDefault="0047380A" w:rsidP="009714A3">
      <w:pPr>
        <w:jc w:val="center"/>
        <w:outlineLvl w:val="0"/>
        <w:rPr>
          <w:b/>
          <w:sz w:val="36"/>
          <w:szCs w:val="36"/>
        </w:rPr>
      </w:pPr>
    </w:p>
    <w:p w:rsidR="0047380A" w:rsidRDefault="0047380A" w:rsidP="009714A3">
      <w:pPr>
        <w:jc w:val="center"/>
        <w:outlineLvl w:val="0"/>
        <w:rPr>
          <w:b/>
          <w:sz w:val="36"/>
          <w:szCs w:val="36"/>
        </w:rPr>
      </w:pPr>
    </w:p>
    <w:p w:rsidR="0047380A" w:rsidRDefault="0047380A" w:rsidP="009714A3">
      <w:pPr>
        <w:jc w:val="center"/>
        <w:outlineLvl w:val="0"/>
        <w:rPr>
          <w:b/>
          <w:sz w:val="36"/>
          <w:szCs w:val="36"/>
        </w:rPr>
      </w:pPr>
    </w:p>
    <w:p w:rsidR="0047380A" w:rsidRDefault="0047380A" w:rsidP="009714A3">
      <w:pPr>
        <w:jc w:val="center"/>
        <w:outlineLvl w:val="0"/>
        <w:rPr>
          <w:b/>
          <w:sz w:val="36"/>
          <w:szCs w:val="36"/>
        </w:rPr>
      </w:pPr>
    </w:p>
    <w:p w:rsidR="0047380A" w:rsidRDefault="0047380A" w:rsidP="009714A3">
      <w:pPr>
        <w:jc w:val="center"/>
        <w:outlineLvl w:val="0"/>
        <w:rPr>
          <w:b/>
          <w:sz w:val="36"/>
          <w:szCs w:val="36"/>
        </w:rPr>
      </w:pPr>
    </w:p>
    <w:p w:rsidR="0047380A" w:rsidRDefault="0047380A" w:rsidP="009714A3">
      <w:pPr>
        <w:jc w:val="center"/>
        <w:outlineLvl w:val="0"/>
        <w:rPr>
          <w:b/>
          <w:sz w:val="36"/>
          <w:szCs w:val="36"/>
        </w:rPr>
      </w:pPr>
    </w:p>
    <w:p w:rsidR="0047380A" w:rsidRDefault="0047380A" w:rsidP="009714A3">
      <w:pPr>
        <w:jc w:val="center"/>
        <w:outlineLvl w:val="0"/>
        <w:rPr>
          <w:b/>
          <w:sz w:val="28"/>
          <w:szCs w:val="28"/>
        </w:rPr>
      </w:pPr>
    </w:p>
    <w:p w:rsidR="000E0F5C" w:rsidRPr="000E0F5C" w:rsidRDefault="000E0F5C" w:rsidP="009714A3">
      <w:pPr>
        <w:jc w:val="center"/>
        <w:outlineLvl w:val="0"/>
        <w:rPr>
          <w:b/>
          <w:sz w:val="28"/>
          <w:szCs w:val="28"/>
        </w:rPr>
      </w:pPr>
    </w:p>
    <w:p w:rsidR="00DE5EE2" w:rsidRDefault="00DE5EE2" w:rsidP="009714A3">
      <w:pPr>
        <w:jc w:val="center"/>
        <w:outlineLvl w:val="0"/>
        <w:rPr>
          <w:b/>
          <w:sz w:val="36"/>
          <w:szCs w:val="36"/>
        </w:rPr>
      </w:pPr>
    </w:p>
    <w:p w:rsidR="00DE5EE2" w:rsidRDefault="00DE5EE2" w:rsidP="009714A3">
      <w:pPr>
        <w:jc w:val="center"/>
        <w:outlineLvl w:val="0"/>
        <w:rPr>
          <w:b/>
          <w:sz w:val="36"/>
          <w:szCs w:val="36"/>
        </w:rPr>
      </w:pPr>
    </w:p>
    <w:p w:rsidR="00DE5EE2" w:rsidRDefault="00DE5EE2" w:rsidP="009714A3">
      <w:pPr>
        <w:jc w:val="center"/>
        <w:outlineLvl w:val="0"/>
        <w:rPr>
          <w:b/>
          <w:sz w:val="36"/>
          <w:szCs w:val="36"/>
        </w:rPr>
      </w:pPr>
    </w:p>
    <w:p w:rsidR="00DE5EE2" w:rsidRDefault="00DE5EE2" w:rsidP="009714A3">
      <w:pPr>
        <w:jc w:val="center"/>
        <w:outlineLvl w:val="0"/>
        <w:rPr>
          <w:b/>
          <w:sz w:val="36"/>
          <w:szCs w:val="36"/>
        </w:rPr>
      </w:pPr>
    </w:p>
    <w:p w:rsidR="00DE5EE2" w:rsidRDefault="00DE5EE2" w:rsidP="009714A3">
      <w:pPr>
        <w:jc w:val="center"/>
        <w:outlineLvl w:val="0"/>
        <w:rPr>
          <w:b/>
          <w:sz w:val="36"/>
          <w:szCs w:val="36"/>
        </w:rPr>
      </w:pPr>
    </w:p>
    <w:p w:rsidR="00DE5EE2" w:rsidRDefault="00DE5EE2" w:rsidP="009714A3">
      <w:pPr>
        <w:jc w:val="center"/>
        <w:outlineLvl w:val="0"/>
        <w:rPr>
          <w:b/>
          <w:sz w:val="36"/>
          <w:szCs w:val="36"/>
        </w:rPr>
      </w:pPr>
    </w:p>
    <w:p w:rsidR="00DE5EE2" w:rsidRDefault="00DE5EE2" w:rsidP="009714A3">
      <w:pPr>
        <w:jc w:val="center"/>
        <w:outlineLvl w:val="0"/>
        <w:rPr>
          <w:b/>
          <w:sz w:val="36"/>
          <w:szCs w:val="36"/>
        </w:rPr>
      </w:pPr>
    </w:p>
    <w:p w:rsidR="00DE5EE2" w:rsidRDefault="00DE5EE2" w:rsidP="009714A3">
      <w:pPr>
        <w:jc w:val="center"/>
        <w:outlineLvl w:val="0"/>
        <w:rPr>
          <w:b/>
          <w:sz w:val="36"/>
          <w:szCs w:val="36"/>
        </w:rPr>
      </w:pPr>
    </w:p>
    <w:p w:rsidR="00DE5EE2" w:rsidRDefault="00DE5EE2" w:rsidP="009714A3">
      <w:pPr>
        <w:jc w:val="center"/>
        <w:outlineLvl w:val="0"/>
        <w:rPr>
          <w:b/>
          <w:sz w:val="36"/>
          <w:szCs w:val="36"/>
        </w:rPr>
      </w:pPr>
    </w:p>
    <w:p w:rsidR="00DE5EE2" w:rsidRDefault="00DE5EE2" w:rsidP="009714A3">
      <w:pPr>
        <w:jc w:val="center"/>
        <w:outlineLvl w:val="0"/>
        <w:rPr>
          <w:b/>
          <w:sz w:val="36"/>
          <w:szCs w:val="36"/>
        </w:rPr>
      </w:pPr>
    </w:p>
    <w:p w:rsidR="00DE5EE2" w:rsidRDefault="00DE5EE2" w:rsidP="009714A3">
      <w:pPr>
        <w:jc w:val="center"/>
        <w:outlineLvl w:val="0"/>
        <w:rPr>
          <w:b/>
          <w:sz w:val="36"/>
          <w:szCs w:val="36"/>
        </w:rPr>
      </w:pPr>
    </w:p>
    <w:p w:rsidR="00DE5EE2" w:rsidRDefault="00DE5EE2" w:rsidP="009714A3">
      <w:pPr>
        <w:jc w:val="center"/>
        <w:outlineLvl w:val="0"/>
        <w:rPr>
          <w:b/>
          <w:sz w:val="16"/>
          <w:szCs w:val="16"/>
        </w:rPr>
      </w:pPr>
    </w:p>
    <w:p w:rsidR="00EE5AD4" w:rsidRDefault="00EE5AD4" w:rsidP="009714A3">
      <w:pPr>
        <w:jc w:val="center"/>
        <w:outlineLvl w:val="0"/>
        <w:rPr>
          <w:b/>
          <w:sz w:val="16"/>
          <w:szCs w:val="16"/>
        </w:rPr>
      </w:pPr>
    </w:p>
    <w:p w:rsidR="009714A3" w:rsidRDefault="009714A3" w:rsidP="009714A3">
      <w:pPr>
        <w:jc w:val="center"/>
        <w:outlineLvl w:val="0"/>
        <w:rPr>
          <w:b/>
          <w:sz w:val="36"/>
          <w:szCs w:val="36"/>
        </w:rPr>
      </w:pPr>
      <w:bookmarkStart w:id="0" w:name="_GoBack"/>
      <w:bookmarkEnd w:id="0"/>
      <w:r w:rsidRPr="004555B0">
        <w:rPr>
          <w:b/>
          <w:sz w:val="36"/>
          <w:szCs w:val="36"/>
        </w:rPr>
        <w:t>Bradley Stoke Town Council</w:t>
      </w:r>
    </w:p>
    <w:p w:rsidR="009714A3" w:rsidRDefault="009714A3" w:rsidP="009714A3">
      <w:pPr>
        <w:jc w:val="center"/>
        <w:rPr>
          <w:b/>
          <w:sz w:val="28"/>
          <w:szCs w:val="28"/>
        </w:rPr>
      </w:pPr>
    </w:p>
    <w:p w:rsidR="007667AF" w:rsidRPr="009714A3" w:rsidRDefault="007667AF" w:rsidP="009714A3">
      <w:pPr>
        <w:jc w:val="center"/>
        <w:rPr>
          <w:b/>
          <w:sz w:val="28"/>
          <w:szCs w:val="28"/>
        </w:rPr>
      </w:pPr>
      <w:r w:rsidRPr="009714A3">
        <w:rPr>
          <w:b/>
          <w:sz w:val="28"/>
          <w:szCs w:val="28"/>
        </w:rPr>
        <w:t xml:space="preserve">SUMMARY OF RECOMMENDATIONS TO BE CONSIDERED BY FULL COUNCIL ON </w:t>
      </w:r>
      <w:r w:rsidR="00F70F54">
        <w:rPr>
          <w:b/>
          <w:sz w:val="28"/>
          <w:szCs w:val="28"/>
        </w:rPr>
        <w:t>21</w:t>
      </w:r>
      <w:r w:rsidR="00F70F54" w:rsidRPr="00F70F54">
        <w:rPr>
          <w:b/>
          <w:sz w:val="28"/>
          <w:szCs w:val="28"/>
          <w:vertAlign w:val="superscript"/>
        </w:rPr>
        <w:t>st</w:t>
      </w:r>
      <w:r w:rsidR="00F70F54">
        <w:rPr>
          <w:b/>
          <w:sz w:val="28"/>
          <w:szCs w:val="28"/>
        </w:rPr>
        <w:t xml:space="preserve"> </w:t>
      </w:r>
      <w:r w:rsidRPr="009714A3">
        <w:rPr>
          <w:b/>
          <w:sz w:val="28"/>
          <w:szCs w:val="28"/>
        </w:rPr>
        <w:t>SEPTEMBER 201</w:t>
      </w:r>
      <w:r w:rsidR="00F70F54">
        <w:rPr>
          <w:b/>
          <w:sz w:val="28"/>
          <w:szCs w:val="28"/>
        </w:rPr>
        <w:t>6</w:t>
      </w:r>
    </w:p>
    <w:p w:rsidR="007667AF" w:rsidRDefault="007667AF" w:rsidP="007D22FD">
      <w:pPr>
        <w:jc w:val="both"/>
      </w:pPr>
    </w:p>
    <w:p w:rsidR="00205E41" w:rsidRPr="00205E41" w:rsidRDefault="00205E41" w:rsidP="00205E41">
      <w:pPr>
        <w:jc w:val="both"/>
        <w:rPr>
          <w:b/>
          <w:u w:val="single"/>
        </w:rPr>
      </w:pPr>
      <w:r>
        <w:rPr>
          <w:b/>
          <w:u w:val="single"/>
        </w:rPr>
        <w:t xml:space="preserve">1. </w:t>
      </w:r>
      <w:r w:rsidR="00F70F54" w:rsidRPr="00F70F54">
        <w:rPr>
          <w:b/>
          <w:u w:val="single"/>
        </w:rPr>
        <w:t>New Kitchen at Baileys Court Activity Centre (N/C</w:t>
      </w:r>
      <w:r w:rsidR="003F4142">
        <w:rPr>
          <w:b/>
          <w:u w:val="single"/>
        </w:rPr>
        <w:t xml:space="preserve"> </w:t>
      </w:r>
      <w:r w:rsidR="00F70F54" w:rsidRPr="00F70F54">
        <w:rPr>
          <w:b/>
          <w:u w:val="single"/>
        </w:rPr>
        <w:t>3012)</w:t>
      </w:r>
      <w:r w:rsidRPr="00205E41">
        <w:rPr>
          <w:b/>
          <w:u w:val="single"/>
        </w:rPr>
        <w:t xml:space="preserve"> </w:t>
      </w:r>
    </w:p>
    <w:p w:rsidR="00F70F54" w:rsidRPr="00F70F54" w:rsidRDefault="00F70F54" w:rsidP="00F70F54">
      <w:pPr>
        <w:jc w:val="both"/>
        <w:rPr>
          <w:i/>
        </w:rPr>
      </w:pPr>
      <w:r>
        <w:rPr>
          <w:i/>
        </w:rPr>
        <w:t>C</w:t>
      </w:r>
      <w:r w:rsidRPr="00F70F54">
        <w:rPr>
          <w:i/>
        </w:rPr>
        <w:t>ouncillors agreed to “RECOMMEND to Full Council” that BSTC uses £15,000 from the All Sites Refurbishment Project reserve (N/C</w:t>
      </w:r>
      <w:r w:rsidR="00B05AC1">
        <w:rPr>
          <w:i/>
        </w:rPr>
        <w:t xml:space="preserve"> </w:t>
      </w:r>
      <w:r w:rsidRPr="00F70F54">
        <w:rPr>
          <w:i/>
        </w:rPr>
        <w:t>3012) to install a new small kitchen in the old caretaker’s office at Baileys Court Activity Centre.</w:t>
      </w:r>
    </w:p>
    <w:p w:rsidR="00E80B0A" w:rsidRPr="0047380A" w:rsidRDefault="00E80B0A" w:rsidP="007D22FD">
      <w:pPr>
        <w:jc w:val="both"/>
        <w:rPr>
          <w:sz w:val="16"/>
          <w:szCs w:val="16"/>
        </w:rPr>
      </w:pPr>
    </w:p>
    <w:p w:rsidR="0047380A" w:rsidRPr="0047380A" w:rsidRDefault="0047380A" w:rsidP="007D22FD">
      <w:pPr>
        <w:jc w:val="both"/>
        <w:rPr>
          <w:sz w:val="16"/>
          <w:szCs w:val="16"/>
        </w:rPr>
      </w:pPr>
    </w:p>
    <w:p w:rsidR="00205702" w:rsidRPr="00205702" w:rsidRDefault="00205702" w:rsidP="00205702">
      <w:pPr>
        <w:rPr>
          <w:b/>
          <w:u w:val="single"/>
        </w:rPr>
      </w:pPr>
      <w:r>
        <w:rPr>
          <w:b/>
          <w:u w:val="single"/>
        </w:rPr>
        <w:t xml:space="preserve">2. </w:t>
      </w:r>
      <w:r w:rsidR="003F4142">
        <w:rPr>
          <w:b/>
          <w:u w:val="single"/>
        </w:rPr>
        <w:t>New Booking System for all Site bookings</w:t>
      </w:r>
      <w:r w:rsidR="003F4142" w:rsidRPr="00205E41">
        <w:rPr>
          <w:b/>
          <w:u w:val="single"/>
        </w:rPr>
        <w:t xml:space="preserve"> (N/C 30</w:t>
      </w:r>
      <w:r w:rsidR="003F4142">
        <w:rPr>
          <w:b/>
          <w:u w:val="single"/>
        </w:rPr>
        <w:t>1</w:t>
      </w:r>
      <w:r w:rsidR="003F4142" w:rsidRPr="00205E41">
        <w:rPr>
          <w:b/>
          <w:u w:val="single"/>
        </w:rPr>
        <w:t>8)</w:t>
      </w:r>
    </w:p>
    <w:p w:rsidR="003F4142" w:rsidRPr="003F4142" w:rsidRDefault="003F4142" w:rsidP="003F4142">
      <w:pPr>
        <w:jc w:val="both"/>
        <w:rPr>
          <w:i/>
          <w:u w:val="single"/>
        </w:rPr>
      </w:pPr>
      <w:r w:rsidRPr="003F4142">
        <w:rPr>
          <w:i/>
        </w:rPr>
        <w:t>Councillors agreed to “RECOMMEND to Full Council” that the Online Payment System Budget reserve (N/C 3018) of £2,000 be utilised to install a new all sites booking system.</w:t>
      </w:r>
    </w:p>
    <w:p w:rsidR="0047380A" w:rsidRPr="0047380A" w:rsidRDefault="0047380A" w:rsidP="0047380A">
      <w:pPr>
        <w:jc w:val="both"/>
        <w:rPr>
          <w:sz w:val="16"/>
          <w:szCs w:val="16"/>
        </w:rPr>
      </w:pPr>
    </w:p>
    <w:p w:rsidR="0047380A" w:rsidRPr="0047380A" w:rsidRDefault="0047380A" w:rsidP="0047380A">
      <w:pPr>
        <w:jc w:val="both"/>
        <w:rPr>
          <w:sz w:val="16"/>
          <w:szCs w:val="16"/>
        </w:rPr>
      </w:pPr>
    </w:p>
    <w:p w:rsidR="005712E5" w:rsidRPr="004E6B80" w:rsidRDefault="000B26FC" w:rsidP="005712E5">
      <w:pPr>
        <w:rPr>
          <w:b/>
          <w:u w:val="single"/>
        </w:rPr>
      </w:pPr>
      <w:r>
        <w:rPr>
          <w:b/>
          <w:u w:val="single"/>
        </w:rPr>
        <w:t>3</w:t>
      </w:r>
      <w:r w:rsidR="007667AF" w:rsidRPr="009714A3">
        <w:rPr>
          <w:b/>
          <w:u w:val="single"/>
        </w:rPr>
        <w:t>.</w:t>
      </w:r>
      <w:r w:rsidR="00A045F4" w:rsidRPr="009714A3">
        <w:rPr>
          <w:b/>
          <w:u w:val="single"/>
        </w:rPr>
        <w:t xml:space="preserve"> </w:t>
      </w:r>
      <w:r w:rsidR="00BF2FA6" w:rsidRPr="00BF2FA6">
        <w:rPr>
          <w:b/>
          <w:u w:val="single"/>
        </w:rPr>
        <w:t>Local Councils Award Scheme</w:t>
      </w:r>
    </w:p>
    <w:p w:rsidR="00BF2FA6" w:rsidRPr="00BF2FA6" w:rsidRDefault="00BF2FA6" w:rsidP="00BF2FA6">
      <w:pPr>
        <w:jc w:val="both"/>
        <w:rPr>
          <w:i/>
        </w:rPr>
      </w:pPr>
      <w:r w:rsidRPr="00BF2FA6">
        <w:rPr>
          <w:i/>
        </w:rPr>
        <w:t xml:space="preserve">Councillors agreed to “RECOMMEND to Full Council” that BSTC goes for the Local Council Award Scheme – Quality Award. </w:t>
      </w:r>
    </w:p>
    <w:p w:rsidR="0047380A" w:rsidRPr="0047380A" w:rsidRDefault="0047380A" w:rsidP="0047380A">
      <w:pPr>
        <w:jc w:val="both"/>
        <w:rPr>
          <w:sz w:val="16"/>
          <w:szCs w:val="16"/>
        </w:rPr>
      </w:pPr>
    </w:p>
    <w:p w:rsidR="0047380A" w:rsidRPr="0047380A" w:rsidRDefault="0047380A" w:rsidP="0047380A">
      <w:pPr>
        <w:jc w:val="both"/>
        <w:rPr>
          <w:sz w:val="16"/>
          <w:szCs w:val="16"/>
        </w:rPr>
      </w:pPr>
    </w:p>
    <w:p w:rsidR="007D1042" w:rsidRPr="007D1042" w:rsidRDefault="007D1042" w:rsidP="007D1042">
      <w:pPr>
        <w:jc w:val="both"/>
        <w:rPr>
          <w:b/>
          <w:u w:val="single"/>
        </w:rPr>
      </w:pPr>
      <w:r>
        <w:rPr>
          <w:b/>
          <w:u w:val="single"/>
        </w:rPr>
        <w:t>4</w:t>
      </w:r>
      <w:r w:rsidR="004D3F5B" w:rsidRPr="009714A3">
        <w:rPr>
          <w:b/>
          <w:u w:val="single"/>
        </w:rPr>
        <w:t>.</w:t>
      </w:r>
      <w:r w:rsidR="00A045F4" w:rsidRPr="009714A3">
        <w:rPr>
          <w:b/>
          <w:u w:val="single"/>
        </w:rPr>
        <w:t xml:space="preserve"> </w:t>
      </w:r>
      <w:r w:rsidRPr="007D1042">
        <w:rPr>
          <w:b/>
          <w:u w:val="single"/>
        </w:rPr>
        <w:t>Improvement of Acoustic Conditions at the Jubilee Centre and Baileys Court Activity Centre</w:t>
      </w:r>
    </w:p>
    <w:p w:rsidR="007D1042" w:rsidRPr="007D1042" w:rsidRDefault="007D1042" w:rsidP="007D1042">
      <w:pPr>
        <w:jc w:val="both"/>
        <w:rPr>
          <w:i/>
        </w:rPr>
      </w:pPr>
      <w:r w:rsidRPr="007D1042">
        <w:rPr>
          <w:i/>
        </w:rPr>
        <w:t xml:space="preserve">Councillors agreed to “RECOMMEND to Full Council” that BSTC investigates the installation of a new inductive loop system in the Oak Hall and acoustic improvements to the Woodlands Suite &amp; the Oak Hall, at the Jubilee </w:t>
      </w:r>
      <w:r w:rsidR="00EE5AD4">
        <w:rPr>
          <w:i/>
        </w:rPr>
        <w:t>C</w:t>
      </w:r>
      <w:r w:rsidRPr="007D1042">
        <w:rPr>
          <w:i/>
        </w:rPr>
        <w:t xml:space="preserve">entre and the Elm Room at Baileys Court Activity Centre. </w:t>
      </w:r>
    </w:p>
    <w:p w:rsidR="0047380A" w:rsidRPr="0047380A" w:rsidRDefault="0047380A" w:rsidP="0047380A">
      <w:pPr>
        <w:jc w:val="both"/>
        <w:rPr>
          <w:sz w:val="16"/>
          <w:szCs w:val="16"/>
        </w:rPr>
      </w:pPr>
    </w:p>
    <w:p w:rsidR="0047380A" w:rsidRPr="0047380A" w:rsidRDefault="0047380A" w:rsidP="0047380A">
      <w:pPr>
        <w:jc w:val="both"/>
        <w:rPr>
          <w:sz w:val="16"/>
          <w:szCs w:val="16"/>
        </w:rPr>
      </w:pPr>
    </w:p>
    <w:p w:rsidR="002255C6" w:rsidRPr="001E1553" w:rsidRDefault="005C70B7" w:rsidP="002255C6">
      <w:pPr>
        <w:jc w:val="both"/>
        <w:rPr>
          <w:b/>
          <w:u w:val="single"/>
        </w:rPr>
      </w:pPr>
      <w:r>
        <w:rPr>
          <w:b/>
          <w:u w:val="single"/>
        </w:rPr>
        <w:t>5</w:t>
      </w:r>
      <w:r w:rsidR="002255C6">
        <w:rPr>
          <w:b/>
          <w:u w:val="single"/>
        </w:rPr>
        <w:t xml:space="preserve">. </w:t>
      </w:r>
      <w:r w:rsidRPr="005C70B7">
        <w:rPr>
          <w:b/>
          <w:u w:val="single"/>
        </w:rPr>
        <w:t>Youth Development Focus linked to BSTC Forward Plan</w:t>
      </w:r>
    </w:p>
    <w:p w:rsidR="00352E2A" w:rsidRPr="00352E2A" w:rsidRDefault="00352E2A" w:rsidP="00352E2A">
      <w:pPr>
        <w:jc w:val="both"/>
        <w:rPr>
          <w:i/>
        </w:rPr>
      </w:pPr>
      <w:r w:rsidRPr="00352E2A">
        <w:rPr>
          <w:i/>
        </w:rPr>
        <w:t>Councillors agreed to “RECOMMEND to Full Council” that BSTC employ 2 x part-time youth workers with funded from allocated budgets Youth Core Expenditure (N/C 5500) and Positive Youth Activities Expenditure (N/C 5503A)</w:t>
      </w:r>
    </w:p>
    <w:p w:rsidR="00352E2A" w:rsidRPr="00352E2A" w:rsidRDefault="00352E2A" w:rsidP="00352E2A">
      <w:pPr>
        <w:jc w:val="both"/>
        <w:rPr>
          <w:i/>
          <w:sz w:val="16"/>
          <w:szCs w:val="16"/>
        </w:rPr>
      </w:pPr>
    </w:p>
    <w:p w:rsidR="00352E2A" w:rsidRPr="00352E2A" w:rsidRDefault="00352E2A" w:rsidP="00352E2A">
      <w:pPr>
        <w:jc w:val="both"/>
        <w:rPr>
          <w:i/>
        </w:rPr>
      </w:pPr>
      <w:r w:rsidRPr="00352E2A">
        <w:rPr>
          <w:i/>
        </w:rPr>
        <w:t>Councillors agreed to “RECOMMEND to Full Council” that BSTC use up to £30,000 from the Youth Provision Reserve budget (N/C 3079) for further development of additional facilities at the Skatepark with external funding opportunities being explored by Youth Participation &amp; Development Worker.</w:t>
      </w:r>
    </w:p>
    <w:p w:rsidR="0047380A" w:rsidRPr="0047380A" w:rsidRDefault="0047380A" w:rsidP="0047380A">
      <w:pPr>
        <w:jc w:val="both"/>
        <w:rPr>
          <w:sz w:val="16"/>
          <w:szCs w:val="16"/>
        </w:rPr>
      </w:pPr>
    </w:p>
    <w:p w:rsidR="0047380A" w:rsidRPr="0047380A" w:rsidRDefault="0047380A" w:rsidP="0047380A">
      <w:pPr>
        <w:jc w:val="both"/>
        <w:rPr>
          <w:sz w:val="16"/>
          <w:szCs w:val="16"/>
        </w:rPr>
      </w:pPr>
    </w:p>
    <w:p w:rsidR="002255C6" w:rsidRPr="001E1553" w:rsidRDefault="005C70B7" w:rsidP="002255C6">
      <w:pPr>
        <w:jc w:val="both"/>
        <w:rPr>
          <w:b/>
          <w:u w:val="single"/>
        </w:rPr>
      </w:pPr>
      <w:r>
        <w:rPr>
          <w:b/>
          <w:u w:val="single"/>
        </w:rPr>
        <w:t>6</w:t>
      </w:r>
      <w:r w:rsidR="002255C6">
        <w:rPr>
          <w:b/>
          <w:u w:val="single"/>
        </w:rPr>
        <w:t xml:space="preserve">. </w:t>
      </w:r>
      <w:r>
        <w:rPr>
          <w:b/>
          <w:u w:val="single"/>
        </w:rPr>
        <w:t>Community Festival 2018</w:t>
      </w:r>
    </w:p>
    <w:p w:rsidR="00AB4EF1" w:rsidRPr="00AB4EF1" w:rsidRDefault="005C70B7" w:rsidP="00AB4EF1">
      <w:pPr>
        <w:jc w:val="both"/>
        <w:rPr>
          <w:i/>
        </w:rPr>
      </w:pPr>
      <w:r>
        <w:rPr>
          <w:i/>
        </w:rPr>
        <w:t>C</w:t>
      </w:r>
      <w:r w:rsidR="00AB4EF1" w:rsidRPr="00AB4EF1">
        <w:rPr>
          <w:i/>
        </w:rPr>
        <w:t>ouncillors agreed to “RECOMMEND to Full Council” that BSTC amalgamate the Carnival and Festival for 2018, moving £4,000 from the Community Development Grant budget (N/C 5074) to the Community Events budget (N/C 5087) with that £4,000 being ring-fenced for council spending approval, with the event being put out to tender and keeping the tender wording broader i.e. a 3 day themed event to incorporate community involvement across 3 sites with the main event focused at The Jubilee Centre with a budget circa £21,000.</w:t>
      </w:r>
    </w:p>
    <w:p w:rsidR="0047380A" w:rsidRPr="0047380A" w:rsidRDefault="0047380A" w:rsidP="0047380A">
      <w:pPr>
        <w:jc w:val="both"/>
        <w:rPr>
          <w:sz w:val="16"/>
          <w:szCs w:val="16"/>
        </w:rPr>
      </w:pPr>
    </w:p>
    <w:p w:rsidR="0047380A" w:rsidRPr="0047380A" w:rsidRDefault="0047380A" w:rsidP="0047380A">
      <w:pPr>
        <w:jc w:val="both"/>
        <w:rPr>
          <w:sz w:val="16"/>
          <w:szCs w:val="16"/>
        </w:rPr>
      </w:pPr>
    </w:p>
    <w:p w:rsidR="0084651D" w:rsidRPr="0084651D" w:rsidRDefault="005C70B7" w:rsidP="0084651D">
      <w:pPr>
        <w:jc w:val="both"/>
        <w:rPr>
          <w:b/>
          <w:u w:val="single"/>
        </w:rPr>
      </w:pPr>
      <w:r>
        <w:rPr>
          <w:b/>
          <w:u w:val="single"/>
        </w:rPr>
        <w:t>7</w:t>
      </w:r>
      <w:r w:rsidR="005A6A93">
        <w:rPr>
          <w:b/>
          <w:u w:val="single"/>
        </w:rPr>
        <w:t xml:space="preserve">. </w:t>
      </w:r>
      <w:r w:rsidR="0084651D" w:rsidRPr="0084651D">
        <w:rPr>
          <w:b/>
          <w:u w:val="single"/>
        </w:rPr>
        <w:t>Replacement of existing floodlights with LED units on the hardcourts at the Jubilee Centre (N/C 3082)</w:t>
      </w:r>
    </w:p>
    <w:p w:rsidR="0084651D" w:rsidRPr="0084651D" w:rsidRDefault="0084651D" w:rsidP="005A6A93">
      <w:pPr>
        <w:jc w:val="both"/>
        <w:rPr>
          <w:i/>
        </w:rPr>
      </w:pPr>
      <w:r w:rsidRPr="0084651D">
        <w:rPr>
          <w:i/>
        </w:rPr>
        <w:t>Councillors agreed to “RECOMMEND to Full Council” that BSTC spend up to £5,500 from the Green Resource budget reserve (N/C 3082) with the green budget being revisited later in the year for reimbursement.</w:t>
      </w:r>
    </w:p>
    <w:p w:rsidR="0084651D" w:rsidRPr="005C70B7" w:rsidRDefault="0084651D" w:rsidP="005A6A93">
      <w:pPr>
        <w:jc w:val="both"/>
        <w:rPr>
          <w:b/>
          <w:i/>
          <w:sz w:val="16"/>
          <w:szCs w:val="16"/>
        </w:rPr>
      </w:pPr>
    </w:p>
    <w:p w:rsidR="0047380A" w:rsidRPr="0047380A" w:rsidRDefault="0047380A" w:rsidP="0047380A">
      <w:pPr>
        <w:jc w:val="both"/>
        <w:rPr>
          <w:sz w:val="16"/>
          <w:szCs w:val="16"/>
        </w:rPr>
      </w:pPr>
    </w:p>
    <w:p w:rsidR="0047380A" w:rsidRDefault="005C70B7" w:rsidP="0047380A">
      <w:pPr>
        <w:jc w:val="both"/>
        <w:rPr>
          <w:b/>
          <w:u w:val="single"/>
        </w:rPr>
      </w:pPr>
      <w:r>
        <w:rPr>
          <w:b/>
          <w:u w:val="single"/>
        </w:rPr>
        <w:t>8</w:t>
      </w:r>
      <w:r w:rsidR="0047380A">
        <w:rPr>
          <w:b/>
          <w:u w:val="single"/>
        </w:rPr>
        <w:t xml:space="preserve">. </w:t>
      </w:r>
      <w:r w:rsidR="00F2572E" w:rsidRPr="00F2572E">
        <w:rPr>
          <w:b/>
          <w:u w:val="single"/>
        </w:rPr>
        <w:t>Purchase of Cricket Wicket maintenance equipment</w:t>
      </w:r>
    </w:p>
    <w:p w:rsidR="00C11EE8" w:rsidRDefault="00F2572E" w:rsidP="007D22FD">
      <w:pPr>
        <w:jc w:val="both"/>
      </w:pPr>
      <w:r w:rsidRPr="00F2572E">
        <w:rPr>
          <w:i/>
        </w:rPr>
        <w:t xml:space="preserve">Councillors agreed to “RECOMMEND to Full Council” that BSTC set up a Sports Ground Maintenance Equipment budget reserve of £3,000 from 2017/18. </w:t>
      </w:r>
    </w:p>
    <w:p w:rsidR="00C11EE8" w:rsidRPr="006655EE" w:rsidRDefault="00C11EE8" w:rsidP="007D22FD">
      <w:pPr>
        <w:jc w:val="both"/>
        <w:sectPr w:rsidR="00C11EE8" w:rsidRPr="006655EE" w:rsidSect="009714A3">
          <w:headerReference w:type="default" r:id="rId7"/>
          <w:footerReference w:type="even" r:id="rId8"/>
          <w:footerReference w:type="default" r:id="rId9"/>
          <w:pgSz w:w="11906" w:h="16838"/>
          <w:pgMar w:top="851" w:right="1134" w:bottom="851" w:left="1134" w:header="709" w:footer="709" w:gutter="0"/>
          <w:cols w:space="708"/>
          <w:docGrid w:linePitch="360"/>
        </w:sectPr>
      </w:pPr>
    </w:p>
    <w:p w:rsidR="00BE3513" w:rsidRDefault="00BE3513" w:rsidP="00642BAB">
      <w:pPr>
        <w:jc w:val="right"/>
        <w:rPr>
          <w:b/>
        </w:rPr>
      </w:pPr>
      <w:r w:rsidRPr="00E6461B">
        <w:rPr>
          <w:b/>
        </w:rPr>
        <w:t>Appendix A</w:t>
      </w:r>
    </w:p>
    <w:tbl>
      <w:tblPr>
        <w:tblW w:w="15876" w:type="dxa"/>
        <w:tblLayout w:type="fixed"/>
        <w:tblLook w:val="04A0" w:firstRow="1" w:lastRow="0" w:firstColumn="1" w:lastColumn="0" w:noHBand="0" w:noVBand="1"/>
      </w:tblPr>
      <w:tblGrid>
        <w:gridCol w:w="2694"/>
        <w:gridCol w:w="884"/>
        <w:gridCol w:w="637"/>
        <w:gridCol w:w="922"/>
        <w:gridCol w:w="717"/>
        <w:gridCol w:w="884"/>
        <w:gridCol w:w="775"/>
        <w:gridCol w:w="884"/>
        <w:gridCol w:w="675"/>
        <w:gridCol w:w="993"/>
        <w:gridCol w:w="709"/>
        <w:gridCol w:w="992"/>
        <w:gridCol w:w="709"/>
        <w:gridCol w:w="992"/>
        <w:gridCol w:w="709"/>
        <w:gridCol w:w="1700"/>
      </w:tblGrid>
      <w:tr w:rsidR="00F65F74" w:rsidRPr="00F65F74" w:rsidTr="00567A1F">
        <w:trPr>
          <w:trHeight w:val="207"/>
        </w:trPr>
        <w:tc>
          <w:tcPr>
            <w:tcW w:w="14176" w:type="dxa"/>
            <w:gridSpan w:val="15"/>
            <w:tcBorders>
              <w:top w:val="nil"/>
              <w:left w:val="nil"/>
              <w:bottom w:val="nil"/>
              <w:right w:val="nil"/>
            </w:tcBorders>
            <w:shd w:val="clear" w:color="auto" w:fill="auto"/>
            <w:vAlign w:val="bottom"/>
            <w:hideMark/>
          </w:tcPr>
          <w:p w:rsidR="00F65F74" w:rsidRPr="00F65F74" w:rsidRDefault="00F65F74">
            <w:pPr>
              <w:jc w:val="center"/>
              <w:rPr>
                <w:rFonts w:ascii="Arial" w:hAnsi="Arial" w:cs="Arial"/>
                <w:b/>
                <w:bCs/>
                <w:sz w:val="16"/>
                <w:szCs w:val="16"/>
              </w:rPr>
            </w:pPr>
            <w:bookmarkStart w:id="1" w:name="RANGE!A1:L39"/>
            <w:r w:rsidRPr="00F65F74">
              <w:rPr>
                <w:rFonts w:ascii="Arial" w:hAnsi="Arial" w:cs="Arial"/>
                <w:b/>
                <w:bCs/>
                <w:sz w:val="16"/>
                <w:szCs w:val="16"/>
              </w:rPr>
              <w:t xml:space="preserve">2016/17 APPROVED BUDGET WITH 2015/16 YEAR END FIGURES @ 31/7/16 - FORWARD PLAN </w:t>
            </w:r>
            <w:bookmarkEnd w:id="1"/>
          </w:p>
        </w:tc>
        <w:tc>
          <w:tcPr>
            <w:tcW w:w="1700"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b/>
                <w:bCs/>
                <w:sz w:val="16"/>
                <w:szCs w:val="16"/>
              </w:rPr>
            </w:pPr>
          </w:p>
        </w:tc>
      </w:tr>
      <w:tr w:rsidR="00F65F74" w:rsidRPr="00F65F74" w:rsidTr="00567A1F">
        <w:trPr>
          <w:trHeight w:val="135"/>
        </w:trPr>
        <w:tc>
          <w:tcPr>
            <w:tcW w:w="2694" w:type="dxa"/>
            <w:tcBorders>
              <w:top w:val="nil"/>
              <w:left w:val="nil"/>
              <w:bottom w:val="nil"/>
              <w:right w:val="nil"/>
            </w:tcBorders>
            <w:shd w:val="clear" w:color="auto" w:fill="auto"/>
            <w:noWrap/>
            <w:vAlign w:val="bottom"/>
            <w:hideMark/>
          </w:tcPr>
          <w:p w:rsidR="00F65F74" w:rsidRPr="00F65F74" w:rsidRDefault="00F65F74">
            <w:pPr>
              <w:rPr>
                <w:rFonts w:ascii="Arial" w:hAnsi="Arial" w:cs="Arial"/>
                <w:sz w:val="12"/>
                <w:szCs w:val="12"/>
              </w:rPr>
            </w:pPr>
          </w:p>
        </w:tc>
        <w:tc>
          <w:tcPr>
            <w:tcW w:w="884" w:type="dxa"/>
            <w:tcBorders>
              <w:top w:val="nil"/>
              <w:left w:val="nil"/>
              <w:bottom w:val="nil"/>
              <w:right w:val="nil"/>
            </w:tcBorders>
            <w:shd w:val="clear" w:color="auto" w:fill="auto"/>
            <w:noWrap/>
            <w:vAlign w:val="bottom"/>
            <w:hideMark/>
          </w:tcPr>
          <w:p w:rsidR="00F65F74" w:rsidRPr="00F65F74" w:rsidRDefault="00F65F74">
            <w:pPr>
              <w:rPr>
                <w:rFonts w:ascii="Arial" w:hAnsi="Arial" w:cs="Arial"/>
                <w:sz w:val="12"/>
                <w:szCs w:val="12"/>
              </w:rPr>
            </w:pPr>
          </w:p>
        </w:tc>
        <w:tc>
          <w:tcPr>
            <w:tcW w:w="637" w:type="dxa"/>
            <w:tcBorders>
              <w:top w:val="nil"/>
              <w:left w:val="nil"/>
              <w:bottom w:val="nil"/>
              <w:right w:val="nil"/>
            </w:tcBorders>
            <w:shd w:val="clear" w:color="auto" w:fill="auto"/>
            <w:noWrap/>
            <w:vAlign w:val="bottom"/>
            <w:hideMark/>
          </w:tcPr>
          <w:p w:rsidR="00F65F74" w:rsidRPr="00F65F74" w:rsidRDefault="00F65F74">
            <w:pPr>
              <w:rPr>
                <w:rFonts w:ascii="Arial" w:hAnsi="Arial" w:cs="Arial"/>
                <w:sz w:val="12"/>
                <w:szCs w:val="12"/>
              </w:rPr>
            </w:pPr>
          </w:p>
        </w:tc>
        <w:tc>
          <w:tcPr>
            <w:tcW w:w="922" w:type="dxa"/>
            <w:tcBorders>
              <w:top w:val="nil"/>
              <w:left w:val="nil"/>
              <w:bottom w:val="nil"/>
              <w:right w:val="nil"/>
            </w:tcBorders>
            <w:shd w:val="clear" w:color="auto" w:fill="auto"/>
            <w:noWrap/>
            <w:vAlign w:val="bottom"/>
            <w:hideMark/>
          </w:tcPr>
          <w:p w:rsidR="00F65F74" w:rsidRPr="00F65F74" w:rsidRDefault="00F65F74">
            <w:pPr>
              <w:rPr>
                <w:rFonts w:ascii="Arial" w:hAnsi="Arial" w:cs="Arial"/>
                <w:sz w:val="12"/>
                <w:szCs w:val="12"/>
              </w:rPr>
            </w:pPr>
          </w:p>
        </w:tc>
        <w:tc>
          <w:tcPr>
            <w:tcW w:w="717" w:type="dxa"/>
            <w:tcBorders>
              <w:top w:val="nil"/>
              <w:left w:val="nil"/>
              <w:bottom w:val="nil"/>
              <w:right w:val="nil"/>
            </w:tcBorders>
            <w:shd w:val="clear" w:color="auto" w:fill="auto"/>
            <w:noWrap/>
            <w:vAlign w:val="bottom"/>
            <w:hideMark/>
          </w:tcPr>
          <w:p w:rsidR="00F65F74" w:rsidRPr="00F65F74" w:rsidRDefault="00F65F74">
            <w:pPr>
              <w:rPr>
                <w:rFonts w:ascii="Arial" w:hAnsi="Arial" w:cs="Arial"/>
                <w:sz w:val="12"/>
                <w:szCs w:val="12"/>
              </w:rPr>
            </w:pPr>
          </w:p>
        </w:tc>
        <w:tc>
          <w:tcPr>
            <w:tcW w:w="884" w:type="dxa"/>
            <w:tcBorders>
              <w:top w:val="nil"/>
              <w:left w:val="nil"/>
              <w:bottom w:val="nil"/>
              <w:right w:val="nil"/>
            </w:tcBorders>
            <w:shd w:val="clear" w:color="auto" w:fill="auto"/>
            <w:noWrap/>
            <w:vAlign w:val="bottom"/>
            <w:hideMark/>
          </w:tcPr>
          <w:p w:rsidR="00F65F74" w:rsidRPr="00F65F74" w:rsidRDefault="00F65F74">
            <w:pPr>
              <w:rPr>
                <w:rFonts w:ascii="Arial" w:hAnsi="Arial" w:cs="Arial"/>
                <w:sz w:val="12"/>
                <w:szCs w:val="12"/>
              </w:rPr>
            </w:pPr>
          </w:p>
        </w:tc>
        <w:tc>
          <w:tcPr>
            <w:tcW w:w="775" w:type="dxa"/>
            <w:tcBorders>
              <w:top w:val="nil"/>
              <w:left w:val="nil"/>
              <w:bottom w:val="nil"/>
              <w:right w:val="nil"/>
            </w:tcBorders>
            <w:shd w:val="clear" w:color="auto" w:fill="auto"/>
            <w:noWrap/>
            <w:vAlign w:val="bottom"/>
            <w:hideMark/>
          </w:tcPr>
          <w:p w:rsidR="00F65F74" w:rsidRPr="00F65F74" w:rsidRDefault="00F65F74">
            <w:pPr>
              <w:rPr>
                <w:rFonts w:ascii="Arial" w:hAnsi="Arial" w:cs="Arial"/>
                <w:sz w:val="12"/>
                <w:szCs w:val="12"/>
              </w:rPr>
            </w:pPr>
          </w:p>
        </w:tc>
        <w:tc>
          <w:tcPr>
            <w:tcW w:w="884" w:type="dxa"/>
            <w:tcBorders>
              <w:top w:val="nil"/>
              <w:left w:val="nil"/>
              <w:bottom w:val="nil"/>
              <w:right w:val="nil"/>
            </w:tcBorders>
            <w:shd w:val="clear" w:color="auto" w:fill="auto"/>
            <w:noWrap/>
            <w:vAlign w:val="bottom"/>
            <w:hideMark/>
          </w:tcPr>
          <w:p w:rsidR="00F65F74" w:rsidRPr="00F65F74" w:rsidRDefault="00F65F74">
            <w:pPr>
              <w:rPr>
                <w:rFonts w:ascii="Arial" w:hAnsi="Arial" w:cs="Arial"/>
                <w:sz w:val="12"/>
                <w:szCs w:val="12"/>
              </w:rPr>
            </w:pPr>
          </w:p>
        </w:tc>
        <w:tc>
          <w:tcPr>
            <w:tcW w:w="675" w:type="dxa"/>
            <w:tcBorders>
              <w:top w:val="nil"/>
              <w:left w:val="nil"/>
              <w:bottom w:val="nil"/>
              <w:right w:val="nil"/>
            </w:tcBorders>
            <w:shd w:val="clear" w:color="auto" w:fill="auto"/>
            <w:noWrap/>
            <w:vAlign w:val="bottom"/>
            <w:hideMark/>
          </w:tcPr>
          <w:p w:rsidR="00F65F74" w:rsidRPr="00F65F74" w:rsidRDefault="00F65F74">
            <w:pPr>
              <w:rPr>
                <w:rFonts w:ascii="Arial" w:hAnsi="Arial" w:cs="Arial"/>
                <w:sz w:val="12"/>
                <w:szCs w:val="12"/>
              </w:rPr>
            </w:pPr>
          </w:p>
        </w:tc>
        <w:tc>
          <w:tcPr>
            <w:tcW w:w="993" w:type="dxa"/>
            <w:tcBorders>
              <w:top w:val="nil"/>
              <w:left w:val="nil"/>
              <w:bottom w:val="nil"/>
              <w:right w:val="nil"/>
            </w:tcBorders>
            <w:shd w:val="clear" w:color="auto" w:fill="auto"/>
            <w:noWrap/>
            <w:vAlign w:val="bottom"/>
            <w:hideMark/>
          </w:tcPr>
          <w:p w:rsidR="00F65F74" w:rsidRPr="00F65F74" w:rsidRDefault="00F65F74">
            <w:pPr>
              <w:rPr>
                <w:rFonts w:ascii="Arial" w:hAnsi="Arial" w:cs="Arial"/>
                <w:sz w:val="12"/>
                <w:szCs w:val="12"/>
              </w:rPr>
            </w:pPr>
          </w:p>
        </w:tc>
        <w:tc>
          <w:tcPr>
            <w:tcW w:w="709" w:type="dxa"/>
            <w:tcBorders>
              <w:top w:val="nil"/>
              <w:left w:val="nil"/>
              <w:bottom w:val="nil"/>
              <w:right w:val="nil"/>
            </w:tcBorders>
            <w:shd w:val="clear" w:color="auto" w:fill="auto"/>
            <w:noWrap/>
            <w:vAlign w:val="bottom"/>
            <w:hideMark/>
          </w:tcPr>
          <w:p w:rsidR="00F65F74" w:rsidRPr="00F65F74" w:rsidRDefault="00F65F74">
            <w:pPr>
              <w:rPr>
                <w:rFonts w:ascii="Arial" w:hAnsi="Arial" w:cs="Arial"/>
                <w:sz w:val="12"/>
                <w:szCs w:val="12"/>
              </w:rPr>
            </w:pPr>
          </w:p>
        </w:tc>
        <w:tc>
          <w:tcPr>
            <w:tcW w:w="992" w:type="dxa"/>
            <w:tcBorders>
              <w:top w:val="nil"/>
              <w:left w:val="nil"/>
              <w:bottom w:val="nil"/>
              <w:right w:val="nil"/>
            </w:tcBorders>
            <w:shd w:val="clear" w:color="auto" w:fill="auto"/>
            <w:noWrap/>
            <w:vAlign w:val="bottom"/>
            <w:hideMark/>
          </w:tcPr>
          <w:p w:rsidR="00F65F74" w:rsidRPr="00F65F74" w:rsidRDefault="00F65F74">
            <w:pPr>
              <w:rPr>
                <w:rFonts w:ascii="Arial" w:hAnsi="Arial" w:cs="Arial"/>
                <w:sz w:val="12"/>
                <w:szCs w:val="12"/>
              </w:rPr>
            </w:pPr>
          </w:p>
        </w:tc>
        <w:tc>
          <w:tcPr>
            <w:tcW w:w="709" w:type="dxa"/>
            <w:tcBorders>
              <w:top w:val="nil"/>
              <w:left w:val="nil"/>
              <w:bottom w:val="nil"/>
              <w:right w:val="nil"/>
            </w:tcBorders>
            <w:shd w:val="clear" w:color="auto" w:fill="auto"/>
            <w:noWrap/>
            <w:vAlign w:val="bottom"/>
            <w:hideMark/>
          </w:tcPr>
          <w:p w:rsidR="00F65F74" w:rsidRPr="00F65F74" w:rsidRDefault="00F65F74">
            <w:pPr>
              <w:rPr>
                <w:rFonts w:ascii="Arial" w:hAnsi="Arial" w:cs="Arial"/>
                <w:sz w:val="12"/>
                <w:szCs w:val="12"/>
              </w:rPr>
            </w:pPr>
          </w:p>
        </w:tc>
        <w:tc>
          <w:tcPr>
            <w:tcW w:w="992" w:type="dxa"/>
            <w:tcBorders>
              <w:top w:val="nil"/>
              <w:left w:val="nil"/>
              <w:bottom w:val="nil"/>
              <w:right w:val="nil"/>
            </w:tcBorders>
            <w:shd w:val="clear" w:color="auto" w:fill="auto"/>
            <w:noWrap/>
            <w:vAlign w:val="bottom"/>
            <w:hideMark/>
          </w:tcPr>
          <w:p w:rsidR="00F65F74" w:rsidRPr="00F65F74" w:rsidRDefault="00F65F74">
            <w:pPr>
              <w:rPr>
                <w:rFonts w:ascii="Arial" w:hAnsi="Arial" w:cs="Arial"/>
                <w:sz w:val="12"/>
                <w:szCs w:val="12"/>
              </w:rPr>
            </w:pPr>
          </w:p>
        </w:tc>
        <w:tc>
          <w:tcPr>
            <w:tcW w:w="709" w:type="dxa"/>
            <w:tcBorders>
              <w:top w:val="nil"/>
              <w:left w:val="nil"/>
              <w:bottom w:val="nil"/>
              <w:right w:val="nil"/>
            </w:tcBorders>
            <w:shd w:val="clear" w:color="auto" w:fill="auto"/>
            <w:noWrap/>
            <w:vAlign w:val="bottom"/>
            <w:hideMark/>
          </w:tcPr>
          <w:p w:rsidR="00F65F74" w:rsidRPr="00F65F74" w:rsidRDefault="00F65F74">
            <w:pPr>
              <w:rPr>
                <w:rFonts w:ascii="Arial" w:hAnsi="Arial" w:cs="Arial"/>
                <w:sz w:val="12"/>
                <w:szCs w:val="12"/>
              </w:rPr>
            </w:pPr>
          </w:p>
        </w:tc>
        <w:tc>
          <w:tcPr>
            <w:tcW w:w="1700" w:type="dxa"/>
            <w:tcBorders>
              <w:top w:val="nil"/>
              <w:left w:val="nil"/>
              <w:bottom w:val="nil"/>
              <w:right w:val="nil"/>
            </w:tcBorders>
            <w:shd w:val="clear" w:color="auto" w:fill="auto"/>
            <w:noWrap/>
            <w:vAlign w:val="bottom"/>
            <w:hideMark/>
          </w:tcPr>
          <w:p w:rsidR="00F65F74" w:rsidRPr="00F65F74" w:rsidRDefault="00F65F74">
            <w:pPr>
              <w:rPr>
                <w:rFonts w:ascii="Arial" w:hAnsi="Arial" w:cs="Arial"/>
                <w:sz w:val="12"/>
                <w:szCs w:val="12"/>
              </w:rPr>
            </w:pPr>
          </w:p>
        </w:tc>
      </w:tr>
      <w:tr w:rsidR="00F65F74" w:rsidRPr="00F65F74" w:rsidTr="00567A1F">
        <w:trPr>
          <w:trHeight w:val="255"/>
        </w:trPr>
        <w:tc>
          <w:tcPr>
            <w:tcW w:w="2694" w:type="dxa"/>
            <w:tcBorders>
              <w:top w:val="nil"/>
              <w:left w:val="nil"/>
              <w:bottom w:val="nil"/>
              <w:right w:val="nil"/>
            </w:tcBorders>
            <w:shd w:val="clear" w:color="auto" w:fill="auto"/>
            <w:noWrap/>
            <w:vAlign w:val="bottom"/>
            <w:hideMark/>
          </w:tcPr>
          <w:p w:rsidR="00F65F74" w:rsidRPr="00F65F74" w:rsidRDefault="00F65F74">
            <w:pPr>
              <w:rPr>
                <w:rFonts w:ascii="Arial" w:hAnsi="Arial" w:cs="Arial"/>
                <w:sz w:val="12"/>
                <w:szCs w:val="12"/>
              </w:rPr>
            </w:pPr>
          </w:p>
        </w:tc>
        <w:tc>
          <w:tcPr>
            <w:tcW w:w="884" w:type="dxa"/>
            <w:vMerge w:val="restart"/>
            <w:tcBorders>
              <w:top w:val="single" w:sz="4" w:space="0" w:color="auto"/>
              <w:left w:val="single" w:sz="4" w:space="0" w:color="auto"/>
              <w:bottom w:val="single" w:sz="4" w:space="0" w:color="000000"/>
              <w:right w:val="single" w:sz="4" w:space="0" w:color="auto"/>
            </w:tcBorders>
            <w:shd w:val="clear" w:color="000000" w:fill="C4D79B"/>
            <w:vAlign w:val="center"/>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2014/15 Actuals</w:t>
            </w:r>
          </w:p>
        </w:tc>
        <w:tc>
          <w:tcPr>
            <w:tcW w:w="637" w:type="dxa"/>
            <w:vMerge w:val="restart"/>
            <w:tcBorders>
              <w:top w:val="single" w:sz="4" w:space="0" w:color="auto"/>
              <w:left w:val="single" w:sz="4" w:space="0" w:color="auto"/>
              <w:bottom w:val="single" w:sz="4" w:space="0" w:color="000000"/>
              <w:right w:val="nil"/>
            </w:tcBorders>
            <w:shd w:val="clear" w:color="000000" w:fill="C4D79B"/>
            <w:vAlign w:val="center"/>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 change</w:t>
            </w:r>
          </w:p>
        </w:tc>
        <w:tc>
          <w:tcPr>
            <w:tcW w:w="922"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Approved Budget 2015/16</w:t>
            </w:r>
          </w:p>
        </w:tc>
        <w:tc>
          <w:tcPr>
            <w:tcW w:w="717" w:type="dxa"/>
            <w:vMerge w:val="restart"/>
            <w:tcBorders>
              <w:top w:val="single" w:sz="4" w:space="0" w:color="auto"/>
              <w:left w:val="single" w:sz="4" w:space="0" w:color="auto"/>
              <w:bottom w:val="single" w:sz="4" w:space="0" w:color="000000"/>
              <w:right w:val="single" w:sz="12" w:space="0" w:color="auto"/>
            </w:tcBorders>
            <w:shd w:val="clear" w:color="000000" w:fill="FFFF99"/>
            <w:vAlign w:val="center"/>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 change</w:t>
            </w:r>
          </w:p>
        </w:tc>
        <w:tc>
          <w:tcPr>
            <w:tcW w:w="884" w:type="dxa"/>
            <w:vMerge w:val="restart"/>
            <w:tcBorders>
              <w:top w:val="single" w:sz="12" w:space="0" w:color="auto"/>
              <w:left w:val="single" w:sz="12" w:space="0" w:color="auto"/>
              <w:bottom w:val="single" w:sz="4" w:space="0" w:color="000000"/>
              <w:right w:val="single" w:sz="4" w:space="0" w:color="auto"/>
            </w:tcBorders>
            <w:shd w:val="clear" w:color="000000" w:fill="FABF8F"/>
            <w:vAlign w:val="center"/>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Projected Budget 2016/17</w:t>
            </w:r>
          </w:p>
        </w:tc>
        <w:tc>
          <w:tcPr>
            <w:tcW w:w="775" w:type="dxa"/>
            <w:vMerge w:val="restart"/>
            <w:tcBorders>
              <w:top w:val="single" w:sz="12" w:space="0" w:color="auto"/>
              <w:left w:val="single" w:sz="4" w:space="0" w:color="auto"/>
              <w:bottom w:val="single" w:sz="4" w:space="0" w:color="000000"/>
              <w:right w:val="single" w:sz="12" w:space="0" w:color="auto"/>
            </w:tcBorders>
            <w:shd w:val="clear" w:color="000000" w:fill="FABF8F"/>
            <w:vAlign w:val="center"/>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 change</w:t>
            </w:r>
          </w:p>
        </w:tc>
        <w:tc>
          <w:tcPr>
            <w:tcW w:w="884" w:type="dxa"/>
            <w:vMerge w:val="restart"/>
            <w:tcBorders>
              <w:top w:val="single" w:sz="4" w:space="0" w:color="auto"/>
              <w:left w:val="nil"/>
              <w:bottom w:val="single" w:sz="4" w:space="0" w:color="000000"/>
              <w:right w:val="single" w:sz="4" w:space="0" w:color="auto"/>
            </w:tcBorders>
            <w:shd w:val="clear" w:color="000000" w:fill="FF99CC"/>
            <w:vAlign w:val="center"/>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Projected Budget 2017/18</w:t>
            </w:r>
          </w:p>
        </w:tc>
        <w:tc>
          <w:tcPr>
            <w:tcW w:w="675" w:type="dxa"/>
            <w:vMerge w:val="restart"/>
            <w:tcBorders>
              <w:top w:val="single" w:sz="4" w:space="0" w:color="auto"/>
              <w:left w:val="single" w:sz="4" w:space="0" w:color="auto"/>
              <w:bottom w:val="single" w:sz="4" w:space="0" w:color="000000"/>
              <w:right w:val="single" w:sz="4" w:space="0" w:color="auto"/>
            </w:tcBorders>
            <w:shd w:val="clear" w:color="000000" w:fill="FF99CC"/>
            <w:vAlign w:val="center"/>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 change</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99CCFF"/>
            <w:vAlign w:val="center"/>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Projected Budget 2018/19</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99CCFF"/>
            <w:vAlign w:val="center"/>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 change</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C99FF"/>
            <w:vAlign w:val="center"/>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Projected Budget 2019/20</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CC99FF"/>
            <w:vAlign w:val="center"/>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 change</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Projected Budget 2020/21</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 change</w:t>
            </w:r>
          </w:p>
        </w:tc>
        <w:tc>
          <w:tcPr>
            <w:tcW w:w="1700"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b/>
                <w:bCs/>
                <w:sz w:val="12"/>
                <w:szCs w:val="12"/>
              </w:rPr>
            </w:pPr>
          </w:p>
        </w:tc>
      </w:tr>
      <w:tr w:rsidR="00F65F74" w:rsidRPr="00F65F74" w:rsidTr="00567A1F">
        <w:trPr>
          <w:trHeight w:val="38"/>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F74" w:rsidRPr="00F65F74" w:rsidRDefault="00F65F74">
            <w:pPr>
              <w:rPr>
                <w:rFonts w:ascii="Arial" w:hAnsi="Arial" w:cs="Arial"/>
                <w:b/>
                <w:bCs/>
                <w:sz w:val="12"/>
                <w:szCs w:val="12"/>
              </w:rPr>
            </w:pPr>
            <w:r w:rsidRPr="00F65F74">
              <w:rPr>
                <w:rFonts w:ascii="Arial" w:hAnsi="Arial" w:cs="Arial"/>
                <w:b/>
                <w:bCs/>
                <w:sz w:val="12"/>
                <w:szCs w:val="12"/>
              </w:rPr>
              <w:t>INCOME</w:t>
            </w:r>
          </w:p>
        </w:tc>
        <w:tc>
          <w:tcPr>
            <w:tcW w:w="884" w:type="dxa"/>
            <w:vMerge/>
            <w:tcBorders>
              <w:top w:val="single" w:sz="4" w:space="0" w:color="auto"/>
              <w:left w:val="single" w:sz="4" w:space="0" w:color="auto"/>
              <w:bottom w:val="single" w:sz="4" w:space="0" w:color="000000"/>
              <w:right w:val="single" w:sz="4" w:space="0" w:color="auto"/>
            </w:tcBorders>
            <w:vAlign w:val="center"/>
            <w:hideMark/>
          </w:tcPr>
          <w:p w:rsidR="00F65F74" w:rsidRPr="00F65F74" w:rsidRDefault="00F65F74">
            <w:pPr>
              <w:rPr>
                <w:rFonts w:ascii="Arial" w:hAnsi="Arial" w:cs="Arial"/>
                <w:b/>
                <w:bCs/>
                <w:sz w:val="12"/>
                <w:szCs w:val="12"/>
              </w:rPr>
            </w:pPr>
          </w:p>
        </w:tc>
        <w:tc>
          <w:tcPr>
            <w:tcW w:w="637" w:type="dxa"/>
            <w:vMerge/>
            <w:tcBorders>
              <w:top w:val="single" w:sz="4" w:space="0" w:color="auto"/>
              <w:left w:val="single" w:sz="4" w:space="0" w:color="auto"/>
              <w:bottom w:val="single" w:sz="4" w:space="0" w:color="000000"/>
              <w:right w:val="nil"/>
            </w:tcBorders>
            <w:vAlign w:val="center"/>
            <w:hideMark/>
          </w:tcPr>
          <w:p w:rsidR="00F65F74" w:rsidRPr="00F65F74" w:rsidRDefault="00F65F74">
            <w:pPr>
              <w:rPr>
                <w:rFonts w:ascii="Arial" w:hAnsi="Arial" w:cs="Arial"/>
                <w:b/>
                <w:bCs/>
                <w:sz w:val="12"/>
                <w:szCs w:val="12"/>
              </w:rPr>
            </w:pP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F65F74" w:rsidRPr="00F65F74" w:rsidRDefault="00F65F74">
            <w:pPr>
              <w:rPr>
                <w:rFonts w:ascii="Arial" w:hAnsi="Arial" w:cs="Arial"/>
                <w:b/>
                <w:bCs/>
                <w:sz w:val="12"/>
                <w:szCs w:val="12"/>
              </w:rPr>
            </w:pPr>
          </w:p>
        </w:tc>
        <w:tc>
          <w:tcPr>
            <w:tcW w:w="717" w:type="dxa"/>
            <w:vMerge/>
            <w:tcBorders>
              <w:top w:val="single" w:sz="4" w:space="0" w:color="auto"/>
              <w:left w:val="single" w:sz="4" w:space="0" w:color="auto"/>
              <w:bottom w:val="single" w:sz="4" w:space="0" w:color="000000"/>
              <w:right w:val="single" w:sz="12" w:space="0" w:color="auto"/>
            </w:tcBorders>
            <w:vAlign w:val="center"/>
            <w:hideMark/>
          </w:tcPr>
          <w:p w:rsidR="00F65F74" w:rsidRPr="00F65F74" w:rsidRDefault="00F65F74">
            <w:pPr>
              <w:rPr>
                <w:rFonts w:ascii="Arial" w:hAnsi="Arial" w:cs="Arial"/>
                <w:b/>
                <w:bCs/>
                <w:sz w:val="12"/>
                <w:szCs w:val="12"/>
              </w:rPr>
            </w:pPr>
          </w:p>
        </w:tc>
        <w:tc>
          <w:tcPr>
            <w:tcW w:w="884" w:type="dxa"/>
            <w:vMerge/>
            <w:tcBorders>
              <w:top w:val="single" w:sz="12" w:space="0" w:color="auto"/>
              <w:left w:val="single" w:sz="12" w:space="0" w:color="auto"/>
              <w:bottom w:val="single" w:sz="4" w:space="0" w:color="000000"/>
              <w:right w:val="single" w:sz="4" w:space="0" w:color="auto"/>
            </w:tcBorders>
            <w:vAlign w:val="center"/>
            <w:hideMark/>
          </w:tcPr>
          <w:p w:rsidR="00F65F74" w:rsidRPr="00F65F74" w:rsidRDefault="00F65F74">
            <w:pPr>
              <w:rPr>
                <w:rFonts w:ascii="Arial" w:hAnsi="Arial" w:cs="Arial"/>
                <w:b/>
                <w:bCs/>
                <w:sz w:val="12"/>
                <w:szCs w:val="12"/>
              </w:rPr>
            </w:pPr>
          </w:p>
        </w:tc>
        <w:tc>
          <w:tcPr>
            <w:tcW w:w="775" w:type="dxa"/>
            <w:vMerge/>
            <w:tcBorders>
              <w:top w:val="single" w:sz="12" w:space="0" w:color="auto"/>
              <w:left w:val="single" w:sz="4" w:space="0" w:color="auto"/>
              <w:bottom w:val="single" w:sz="4" w:space="0" w:color="000000"/>
              <w:right w:val="single" w:sz="12" w:space="0" w:color="auto"/>
            </w:tcBorders>
            <w:vAlign w:val="center"/>
            <w:hideMark/>
          </w:tcPr>
          <w:p w:rsidR="00F65F74" w:rsidRPr="00F65F74" w:rsidRDefault="00F65F74">
            <w:pPr>
              <w:rPr>
                <w:rFonts w:ascii="Arial" w:hAnsi="Arial" w:cs="Arial"/>
                <w:b/>
                <w:bCs/>
                <w:sz w:val="12"/>
                <w:szCs w:val="12"/>
              </w:rPr>
            </w:pPr>
          </w:p>
        </w:tc>
        <w:tc>
          <w:tcPr>
            <w:tcW w:w="884" w:type="dxa"/>
            <w:vMerge/>
            <w:tcBorders>
              <w:top w:val="single" w:sz="4" w:space="0" w:color="auto"/>
              <w:left w:val="nil"/>
              <w:bottom w:val="single" w:sz="4" w:space="0" w:color="000000"/>
              <w:right w:val="single" w:sz="4" w:space="0" w:color="auto"/>
            </w:tcBorders>
            <w:vAlign w:val="center"/>
            <w:hideMark/>
          </w:tcPr>
          <w:p w:rsidR="00F65F74" w:rsidRPr="00F65F74" w:rsidRDefault="00F65F74">
            <w:pPr>
              <w:rPr>
                <w:rFonts w:ascii="Arial" w:hAnsi="Arial" w:cs="Arial"/>
                <w:b/>
                <w:bCs/>
                <w:sz w:val="12"/>
                <w:szCs w:val="12"/>
              </w:rPr>
            </w:pPr>
          </w:p>
        </w:tc>
        <w:tc>
          <w:tcPr>
            <w:tcW w:w="675" w:type="dxa"/>
            <w:vMerge/>
            <w:tcBorders>
              <w:top w:val="single" w:sz="4" w:space="0" w:color="auto"/>
              <w:left w:val="single" w:sz="4" w:space="0" w:color="auto"/>
              <w:bottom w:val="single" w:sz="4" w:space="0" w:color="000000"/>
              <w:right w:val="single" w:sz="4" w:space="0" w:color="auto"/>
            </w:tcBorders>
            <w:vAlign w:val="center"/>
            <w:hideMark/>
          </w:tcPr>
          <w:p w:rsidR="00F65F74" w:rsidRPr="00F65F74" w:rsidRDefault="00F65F74">
            <w:pPr>
              <w:rPr>
                <w:rFonts w:ascii="Arial" w:hAnsi="Arial" w:cs="Arial"/>
                <w:b/>
                <w:bCs/>
                <w:sz w:val="12"/>
                <w:szCs w:val="1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65F74" w:rsidRPr="00F65F74" w:rsidRDefault="00F65F74">
            <w:pPr>
              <w:rPr>
                <w:rFonts w:ascii="Arial" w:hAnsi="Arial" w:cs="Arial"/>
                <w:b/>
                <w:bCs/>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65F74" w:rsidRPr="00F65F74" w:rsidRDefault="00F65F74">
            <w:pPr>
              <w:rPr>
                <w:rFonts w:ascii="Arial" w:hAnsi="Arial" w:cs="Arial"/>
                <w:b/>
                <w:bCs/>
                <w:sz w:val="12"/>
                <w:szCs w:val="1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65F74" w:rsidRPr="00F65F74" w:rsidRDefault="00F65F74">
            <w:pPr>
              <w:rPr>
                <w:rFonts w:ascii="Arial" w:hAnsi="Arial" w:cs="Arial"/>
                <w:b/>
                <w:bCs/>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65F74" w:rsidRPr="00F65F74" w:rsidRDefault="00F65F74">
            <w:pPr>
              <w:rPr>
                <w:rFonts w:ascii="Arial" w:hAnsi="Arial" w:cs="Arial"/>
                <w:b/>
                <w:bCs/>
                <w:sz w:val="12"/>
                <w:szCs w:val="1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65F74" w:rsidRPr="00F65F74" w:rsidRDefault="00F65F74">
            <w:pPr>
              <w:rPr>
                <w:rFonts w:ascii="Arial" w:hAnsi="Arial" w:cs="Arial"/>
                <w:b/>
                <w:bCs/>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65F74" w:rsidRPr="00F65F74" w:rsidRDefault="00F65F74">
            <w:pPr>
              <w:rPr>
                <w:rFonts w:ascii="Arial" w:hAnsi="Arial" w:cs="Arial"/>
                <w:b/>
                <w:bCs/>
                <w:sz w:val="12"/>
                <w:szCs w:val="12"/>
              </w:rPr>
            </w:pPr>
          </w:p>
        </w:tc>
        <w:tc>
          <w:tcPr>
            <w:tcW w:w="1700" w:type="dxa"/>
            <w:tcBorders>
              <w:top w:val="nil"/>
              <w:left w:val="nil"/>
              <w:bottom w:val="nil"/>
              <w:right w:val="nil"/>
            </w:tcBorders>
            <w:shd w:val="clear" w:color="auto" w:fill="auto"/>
            <w:noWrap/>
            <w:vAlign w:val="bottom"/>
            <w:hideMark/>
          </w:tcPr>
          <w:p w:rsidR="00F65F74" w:rsidRPr="00F65F74" w:rsidRDefault="00F65F74">
            <w:pPr>
              <w:rPr>
                <w:rFonts w:ascii="Arial" w:hAnsi="Arial" w:cs="Arial"/>
                <w:b/>
                <w:bCs/>
                <w:sz w:val="12"/>
                <w:szCs w:val="12"/>
              </w:rPr>
            </w:pPr>
          </w:p>
        </w:tc>
      </w:tr>
      <w:tr w:rsidR="00F65F74" w:rsidRPr="00F65F74" w:rsidTr="00567A1F">
        <w:trPr>
          <w:trHeight w:val="58"/>
        </w:trPr>
        <w:tc>
          <w:tcPr>
            <w:tcW w:w="2694" w:type="dxa"/>
            <w:tcBorders>
              <w:top w:val="nil"/>
              <w:left w:val="single" w:sz="4" w:space="0" w:color="auto"/>
              <w:bottom w:val="nil"/>
              <w:right w:val="single" w:sz="4" w:space="0" w:color="auto"/>
            </w:tcBorders>
            <w:shd w:val="clear" w:color="auto" w:fill="auto"/>
            <w:noWrap/>
            <w:vAlign w:val="bottom"/>
            <w:hideMark/>
          </w:tcPr>
          <w:p w:rsidR="00F65F74" w:rsidRPr="00F65F74" w:rsidRDefault="00F65F74">
            <w:pPr>
              <w:rPr>
                <w:rFonts w:ascii="Arial" w:hAnsi="Arial" w:cs="Arial"/>
                <w:sz w:val="12"/>
                <w:szCs w:val="12"/>
              </w:rPr>
            </w:pPr>
            <w:r w:rsidRPr="00F65F74">
              <w:rPr>
                <w:rFonts w:ascii="Arial" w:hAnsi="Arial" w:cs="Arial"/>
                <w:sz w:val="12"/>
                <w:szCs w:val="12"/>
              </w:rPr>
              <w:t>Bank Interest/Investment/Grant Income</w:t>
            </w:r>
          </w:p>
        </w:tc>
        <w:tc>
          <w:tcPr>
            <w:tcW w:w="884" w:type="dxa"/>
            <w:tcBorders>
              <w:top w:val="nil"/>
              <w:left w:val="single" w:sz="4" w:space="0" w:color="auto"/>
              <w:bottom w:val="nil"/>
              <w:right w:val="single" w:sz="4" w:space="0" w:color="auto"/>
            </w:tcBorders>
            <w:shd w:val="clear" w:color="000000" w:fill="C4D79B"/>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£47,249</w:t>
            </w:r>
          </w:p>
        </w:tc>
        <w:tc>
          <w:tcPr>
            <w:tcW w:w="637" w:type="dxa"/>
            <w:tcBorders>
              <w:top w:val="nil"/>
              <w:left w:val="nil"/>
              <w:bottom w:val="nil"/>
              <w:right w:val="nil"/>
            </w:tcBorders>
            <w:shd w:val="clear" w:color="000000" w:fill="C4D79B"/>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81%</w:t>
            </w:r>
          </w:p>
        </w:tc>
        <w:tc>
          <w:tcPr>
            <w:tcW w:w="922" w:type="dxa"/>
            <w:tcBorders>
              <w:top w:val="nil"/>
              <w:left w:val="single" w:sz="4" w:space="0" w:color="auto"/>
              <w:bottom w:val="nil"/>
              <w:right w:val="single" w:sz="4" w:space="0" w:color="auto"/>
            </w:tcBorders>
            <w:shd w:val="clear" w:color="000000" w:fill="FFFF99"/>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£249,578</w:t>
            </w:r>
          </w:p>
        </w:tc>
        <w:tc>
          <w:tcPr>
            <w:tcW w:w="717" w:type="dxa"/>
            <w:tcBorders>
              <w:top w:val="nil"/>
              <w:left w:val="nil"/>
              <w:bottom w:val="nil"/>
              <w:right w:val="single" w:sz="12" w:space="0" w:color="auto"/>
            </w:tcBorders>
            <w:shd w:val="clear" w:color="000000" w:fill="FFFF99"/>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428%</w:t>
            </w:r>
          </w:p>
        </w:tc>
        <w:tc>
          <w:tcPr>
            <w:tcW w:w="884" w:type="dxa"/>
            <w:tcBorders>
              <w:top w:val="nil"/>
              <w:left w:val="single" w:sz="4" w:space="0" w:color="auto"/>
              <w:bottom w:val="nil"/>
              <w:right w:val="single" w:sz="4" w:space="0" w:color="auto"/>
            </w:tcBorders>
            <w:shd w:val="clear" w:color="000000" w:fill="FABF8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£16,974</w:t>
            </w:r>
          </w:p>
        </w:tc>
        <w:tc>
          <w:tcPr>
            <w:tcW w:w="775" w:type="dxa"/>
            <w:tcBorders>
              <w:top w:val="nil"/>
              <w:left w:val="nil"/>
              <w:bottom w:val="nil"/>
              <w:right w:val="single" w:sz="12" w:space="0" w:color="auto"/>
            </w:tcBorders>
            <w:shd w:val="clear" w:color="000000" w:fill="FABF8F"/>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-93%</w:t>
            </w:r>
          </w:p>
        </w:tc>
        <w:tc>
          <w:tcPr>
            <w:tcW w:w="884" w:type="dxa"/>
            <w:tcBorders>
              <w:top w:val="nil"/>
              <w:left w:val="single" w:sz="4" w:space="0" w:color="auto"/>
              <w:bottom w:val="nil"/>
              <w:right w:val="single" w:sz="4" w:space="0" w:color="auto"/>
            </w:tcBorders>
            <w:shd w:val="clear" w:color="000000" w:fill="FF99CC"/>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£4,800</w:t>
            </w:r>
          </w:p>
        </w:tc>
        <w:tc>
          <w:tcPr>
            <w:tcW w:w="675" w:type="dxa"/>
            <w:tcBorders>
              <w:top w:val="nil"/>
              <w:left w:val="nil"/>
              <w:bottom w:val="nil"/>
              <w:right w:val="single" w:sz="4" w:space="0" w:color="auto"/>
            </w:tcBorders>
            <w:shd w:val="clear" w:color="000000" w:fill="FF99CC"/>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-72%</w:t>
            </w:r>
          </w:p>
        </w:tc>
        <w:tc>
          <w:tcPr>
            <w:tcW w:w="993" w:type="dxa"/>
            <w:tcBorders>
              <w:top w:val="nil"/>
              <w:left w:val="nil"/>
              <w:bottom w:val="nil"/>
              <w:right w:val="single" w:sz="4" w:space="0" w:color="auto"/>
            </w:tcBorders>
            <w:shd w:val="clear" w:color="000000" w:fill="99CC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£4,800</w:t>
            </w:r>
          </w:p>
        </w:tc>
        <w:tc>
          <w:tcPr>
            <w:tcW w:w="709" w:type="dxa"/>
            <w:tcBorders>
              <w:top w:val="nil"/>
              <w:left w:val="nil"/>
              <w:bottom w:val="nil"/>
              <w:right w:val="single" w:sz="4" w:space="0" w:color="auto"/>
            </w:tcBorders>
            <w:shd w:val="clear" w:color="000000" w:fill="99CC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0%</w:t>
            </w:r>
          </w:p>
        </w:tc>
        <w:tc>
          <w:tcPr>
            <w:tcW w:w="992" w:type="dxa"/>
            <w:tcBorders>
              <w:top w:val="nil"/>
              <w:left w:val="nil"/>
              <w:bottom w:val="nil"/>
              <w:right w:val="single" w:sz="4" w:space="0" w:color="auto"/>
            </w:tcBorders>
            <w:shd w:val="clear" w:color="000000" w:fill="CC99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£4,900</w:t>
            </w:r>
          </w:p>
        </w:tc>
        <w:tc>
          <w:tcPr>
            <w:tcW w:w="709" w:type="dxa"/>
            <w:tcBorders>
              <w:top w:val="nil"/>
              <w:left w:val="nil"/>
              <w:bottom w:val="nil"/>
              <w:right w:val="single" w:sz="4" w:space="0" w:color="auto"/>
            </w:tcBorders>
            <w:shd w:val="clear" w:color="000000" w:fill="CC99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2%</w:t>
            </w:r>
          </w:p>
        </w:tc>
        <w:tc>
          <w:tcPr>
            <w:tcW w:w="992" w:type="dxa"/>
            <w:tcBorders>
              <w:top w:val="nil"/>
              <w:left w:val="nil"/>
              <w:bottom w:val="nil"/>
              <w:right w:val="single" w:sz="4" w:space="0" w:color="auto"/>
            </w:tcBorders>
            <w:shd w:val="clear" w:color="000000" w:fill="EBF1DE"/>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£5,000</w:t>
            </w:r>
          </w:p>
        </w:tc>
        <w:tc>
          <w:tcPr>
            <w:tcW w:w="709" w:type="dxa"/>
            <w:tcBorders>
              <w:top w:val="nil"/>
              <w:left w:val="nil"/>
              <w:bottom w:val="nil"/>
              <w:right w:val="single" w:sz="4" w:space="0" w:color="auto"/>
            </w:tcBorders>
            <w:shd w:val="clear" w:color="000000" w:fill="EBF1DE"/>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2%</w:t>
            </w:r>
          </w:p>
        </w:tc>
        <w:tc>
          <w:tcPr>
            <w:tcW w:w="1700"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sz w:val="12"/>
                <w:szCs w:val="12"/>
              </w:rPr>
            </w:pPr>
          </w:p>
        </w:tc>
      </w:tr>
      <w:tr w:rsidR="00F65F74" w:rsidRPr="00F65F74" w:rsidTr="00567A1F">
        <w:trPr>
          <w:trHeight w:val="68"/>
        </w:trPr>
        <w:tc>
          <w:tcPr>
            <w:tcW w:w="2694" w:type="dxa"/>
            <w:tcBorders>
              <w:top w:val="nil"/>
              <w:left w:val="single" w:sz="4" w:space="0" w:color="auto"/>
              <w:bottom w:val="nil"/>
              <w:right w:val="single" w:sz="4" w:space="0" w:color="auto"/>
            </w:tcBorders>
            <w:shd w:val="clear" w:color="auto" w:fill="auto"/>
            <w:noWrap/>
            <w:vAlign w:val="bottom"/>
            <w:hideMark/>
          </w:tcPr>
          <w:p w:rsidR="00F65F74" w:rsidRPr="00F65F74" w:rsidRDefault="00F65F74">
            <w:pPr>
              <w:rPr>
                <w:rFonts w:ascii="Arial" w:hAnsi="Arial" w:cs="Arial"/>
                <w:sz w:val="12"/>
                <w:szCs w:val="12"/>
              </w:rPr>
            </w:pPr>
            <w:r w:rsidRPr="00F65F74">
              <w:rPr>
                <w:rFonts w:ascii="Arial" w:hAnsi="Arial" w:cs="Arial"/>
                <w:sz w:val="12"/>
                <w:szCs w:val="12"/>
              </w:rPr>
              <w:t>Public Works Loan</w:t>
            </w:r>
          </w:p>
        </w:tc>
        <w:tc>
          <w:tcPr>
            <w:tcW w:w="884" w:type="dxa"/>
            <w:tcBorders>
              <w:top w:val="nil"/>
              <w:left w:val="single" w:sz="4" w:space="0" w:color="auto"/>
              <w:bottom w:val="nil"/>
              <w:right w:val="single" w:sz="4" w:space="0" w:color="auto"/>
            </w:tcBorders>
            <w:shd w:val="clear" w:color="000000" w:fill="C4D79B"/>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£0</w:t>
            </w:r>
          </w:p>
        </w:tc>
        <w:tc>
          <w:tcPr>
            <w:tcW w:w="637" w:type="dxa"/>
            <w:tcBorders>
              <w:top w:val="nil"/>
              <w:left w:val="nil"/>
              <w:bottom w:val="nil"/>
              <w:right w:val="nil"/>
            </w:tcBorders>
            <w:shd w:val="clear" w:color="000000" w:fill="C4D79B"/>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0%</w:t>
            </w:r>
          </w:p>
        </w:tc>
        <w:tc>
          <w:tcPr>
            <w:tcW w:w="922" w:type="dxa"/>
            <w:tcBorders>
              <w:top w:val="nil"/>
              <w:left w:val="single" w:sz="4" w:space="0" w:color="auto"/>
              <w:bottom w:val="nil"/>
              <w:right w:val="single" w:sz="4" w:space="0" w:color="auto"/>
            </w:tcBorders>
            <w:shd w:val="clear" w:color="000000" w:fill="FFFF99"/>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£0</w:t>
            </w:r>
          </w:p>
        </w:tc>
        <w:tc>
          <w:tcPr>
            <w:tcW w:w="717" w:type="dxa"/>
            <w:tcBorders>
              <w:top w:val="nil"/>
              <w:left w:val="nil"/>
              <w:bottom w:val="nil"/>
              <w:right w:val="single" w:sz="12" w:space="0" w:color="auto"/>
            </w:tcBorders>
            <w:shd w:val="clear" w:color="000000" w:fill="FFFF99"/>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0%</w:t>
            </w:r>
          </w:p>
        </w:tc>
        <w:tc>
          <w:tcPr>
            <w:tcW w:w="884" w:type="dxa"/>
            <w:tcBorders>
              <w:top w:val="nil"/>
              <w:left w:val="nil"/>
              <w:bottom w:val="nil"/>
              <w:right w:val="single" w:sz="4" w:space="0" w:color="auto"/>
            </w:tcBorders>
            <w:shd w:val="clear" w:color="000000" w:fill="FABF8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£0</w:t>
            </w:r>
          </w:p>
        </w:tc>
        <w:tc>
          <w:tcPr>
            <w:tcW w:w="775" w:type="dxa"/>
            <w:tcBorders>
              <w:top w:val="nil"/>
              <w:left w:val="nil"/>
              <w:bottom w:val="nil"/>
              <w:right w:val="single" w:sz="12" w:space="0" w:color="auto"/>
            </w:tcBorders>
            <w:shd w:val="clear" w:color="000000" w:fill="FABF8F"/>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0%</w:t>
            </w:r>
          </w:p>
        </w:tc>
        <w:tc>
          <w:tcPr>
            <w:tcW w:w="884" w:type="dxa"/>
            <w:tcBorders>
              <w:top w:val="nil"/>
              <w:left w:val="nil"/>
              <w:bottom w:val="nil"/>
              <w:right w:val="single" w:sz="4" w:space="0" w:color="auto"/>
            </w:tcBorders>
            <w:shd w:val="clear" w:color="000000" w:fill="FF99CC"/>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£0</w:t>
            </w:r>
          </w:p>
        </w:tc>
        <w:tc>
          <w:tcPr>
            <w:tcW w:w="675" w:type="dxa"/>
            <w:tcBorders>
              <w:top w:val="nil"/>
              <w:left w:val="nil"/>
              <w:bottom w:val="nil"/>
              <w:right w:val="single" w:sz="4" w:space="0" w:color="auto"/>
            </w:tcBorders>
            <w:shd w:val="clear" w:color="000000" w:fill="FF99CC"/>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0%</w:t>
            </w:r>
          </w:p>
        </w:tc>
        <w:tc>
          <w:tcPr>
            <w:tcW w:w="993" w:type="dxa"/>
            <w:tcBorders>
              <w:top w:val="nil"/>
              <w:left w:val="nil"/>
              <w:bottom w:val="nil"/>
              <w:right w:val="single" w:sz="4" w:space="0" w:color="auto"/>
            </w:tcBorders>
            <w:shd w:val="clear" w:color="000000" w:fill="99CC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£0</w:t>
            </w:r>
          </w:p>
        </w:tc>
        <w:tc>
          <w:tcPr>
            <w:tcW w:w="709" w:type="dxa"/>
            <w:tcBorders>
              <w:top w:val="nil"/>
              <w:left w:val="nil"/>
              <w:bottom w:val="nil"/>
              <w:right w:val="single" w:sz="4" w:space="0" w:color="auto"/>
            </w:tcBorders>
            <w:shd w:val="clear" w:color="000000" w:fill="99CC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0%</w:t>
            </w:r>
          </w:p>
        </w:tc>
        <w:tc>
          <w:tcPr>
            <w:tcW w:w="992" w:type="dxa"/>
            <w:tcBorders>
              <w:top w:val="nil"/>
              <w:left w:val="nil"/>
              <w:bottom w:val="nil"/>
              <w:right w:val="single" w:sz="4" w:space="0" w:color="auto"/>
            </w:tcBorders>
            <w:shd w:val="clear" w:color="000000" w:fill="CC99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£0</w:t>
            </w:r>
          </w:p>
        </w:tc>
        <w:tc>
          <w:tcPr>
            <w:tcW w:w="709" w:type="dxa"/>
            <w:tcBorders>
              <w:top w:val="nil"/>
              <w:left w:val="nil"/>
              <w:bottom w:val="nil"/>
              <w:right w:val="single" w:sz="4" w:space="0" w:color="auto"/>
            </w:tcBorders>
            <w:shd w:val="clear" w:color="000000" w:fill="CC99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0%</w:t>
            </w:r>
          </w:p>
        </w:tc>
        <w:tc>
          <w:tcPr>
            <w:tcW w:w="992" w:type="dxa"/>
            <w:tcBorders>
              <w:top w:val="nil"/>
              <w:left w:val="nil"/>
              <w:bottom w:val="nil"/>
              <w:right w:val="single" w:sz="4" w:space="0" w:color="auto"/>
            </w:tcBorders>
            <w:shd w:val="clear" w:color="000000" w:fill="EBF1DE"/>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£0</w:t>
            </w:r>
          </w:p>
        </w:tc>
        <w:tc>
          <w:tcPr>
            <w:tcW w:w="709" w:type="dxa"/>
            <w:tcBorders>
              <w:top w:val="nil"/>
              <w:left w:val="nil"/>
              <w:bottom w:val="nil"/>
              <w:right w:val="single" w:sz="4" w:space="0" w:color="auto"/>
            </w:tcBorders>
            <w:shd w:val="clear" w:color="000000" w:fill="EBF1DE"/>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0%</w:t>
            </w:r>
          </w:p>
        </w:tc>
        <w:tc>
          <w:tcPr>
            <w:tcW w:w="1700"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sz w:val="12"/>
                <w:szCs w:val="12"/>
              </w:rPr>
            </w:pPr>
          </w:p>
        </w:tc>
      </w:tr>
      <w:tr w:rsidR="00F65F74" w:rsidRPr="00F65F74" w:rsidTr="00567A1F">
        <w:trPr>
          <w:trHeight w:val="68"/>
        </w:trPr>
        <w:tc>
          <w:tcPr>
            <w:tcW w:w="2694" w:type="dxa"/>
            <w:tcBorders>
              <w:top w:val="nil"/>
              <w:left w:val="single" w:sz="4" w:space="0" w:color="auto"/>
              <w:bottom w:val="nil"/>
              <w:right w:val="single" w:sz="4" w:space="0" w:color="auto"/>
            </w:tcBorders>
            <w:shd w:val="clear" w:color="auto" w:fill="auto"/>
            <w:noWrap/>
            <w:vAlign w:val="bottom"/>
            <w:hideMark/>
          </w:tcPr>
          <w:p w:rsidR="00F65F74" w:rsidRPr="00F65F74" w:rsidRDefault="00F65F74">
            <w:pPr>
              <w:rPr>
                <w:rFonts w:ascii="Arial" w:hAnsi="Arial" w:cs="Arial"/>
                <w:sz w:val="12"/>
                <w:szCs w:val="12"/>
              </w:rPr>
            </w:pPr>
            <w:r w:rsidRPr="00F65F74">
              <w:rPr>
                <w:rFonts w:ascii="Arial" w:hAnsi="Arial" w:cs="Arial"/>
                <w:sz w:val="12"/>
                <w:szCs w:val="12"/>
              </w:rPr>
              <w:t>Activity Centres Income</w:t>
            </w:r>
          </w:p>
        </w:tc>
        <w:tc>
          <w:tcPr>
            <w:tcW w:w="884" w:type="dxa"/>
            <w:tcBorders>
              <w:top w:val="nil"/>
              <w:left w:val="single" w:sz="4" w:space="0" w:color="auto"/>
              <w:bottom w:val="nil"/>
              <w:right w:val="single" w:sz="4" w:space="0" w:color="auto"/>
            </w:tcBorders>
            <w:shd w:val="clear" w:color="000000" w:fill="C4D79B"/>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£138,259</w:t>
            </w:r>
          </w:p>
        </w:tc>
        <w:tc>
          <w:tcPr>
            <w:tcW w:w="637" w:type="dxa"/>
            <w:tcBorders>
              <w:top w:val="nil"/>
              <w:left w:val="nil"/>
              <w:bottom w:val="nil"/>
              <w:right w:val="nil"/>
            </w:tcBorders>
            <w:shd w:val="clear" w:color="000000" w:fill="C4D79B"/>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12%</w:t>
            </w:r>
          </w:p>
        </w:tc>
        <w:tc>
          <w:tcPr>
            <w:tcW w:w="922" w:type="dxa"/>
            <w:tcBorders>
              <w:top w:val="nil"/>
              <w:left w:val="single" w:sz="4" w:space="0" w:color="auto"/>
              <w:bottom w:val="nil"/>
              <w:right w:val="single" w:sz="4" w:space="0" w:color="auto"/>
            </w:tcBorders>
            <w:shd w:val="clear" w:color="000000" w:fill="FFFF99"/>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£129,470</w:t>
            </w:r>
          </w:p>
        </w:tc>
        <w:tc>
          <w:tcPr>
            <w:tcW w:w="717" w:type="dxa"/>
            <w:tcBorders>
              <w:top w:val="nil"/>
              <w:left w:val="nil"/>
              <w:bottom w:val="nil"/>
              <w:right w:val="single" w:sz="12" w:space="0" w:color="auto"/>
            </w:tcBorders>
            <w:shd w:val="clear" w:color="000000" w:fill="FFFF99"/>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-6%</w:t>
            </w:r>
          </w:p>
        </w:tc>
        <w:tc>
          <w:tcPr>
            <w:tcW w:w="884" w:type="dxa"/>
            <w:tcBorders>
              <w:top w:val="nil"/>
              <w:left w:val="nil"/>
              <w:bottom w:val="nil"/>
              <w:right w:val="single" w:sz="4" w:space="0" w:color="auto"/>
            </w:tcBorders>
            <w:shd w:val="clear" w:color="000000" w:fill="FABF8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£133,000</w:t>
            </w:r>
          </w:p>
        </w:tc>
        <w:tc>
          <w:tcPr>
            <w:tcW w:w="775" w:type="dxa"/>
            <w:tcBorders>
              <w:top w:val="nil"/>
              <w:left w:val="nil"/>
              <w:bottom w:val="nil"/>
              <w:right w:val="single" w:sz="12" w:space="0" w:color="auto"/>
            </w:tcBorders>
            <w:shd w:val="clear" w:color="000000" w:fill="FABF8F"/>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3%</w:t>
            </w:r>
          </w:p>
        </w:tc>
        <w:tc>
          <w:tcPr>
            <w:tcW w:w="884" w:type="dxa"/>
            <w:tcBorders>
              <w:top w:val="nil"/>
              <w:left w:val="nil"/>
              <w:bottom w:val="nil"/>
              <w:right w:val="single" w:sz="4" w:space="0" w:color="auto"/>
            </w:tcBorders>
            <w:shd w:val="clear" w:color="000000" w:fill="FF99CC"/>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£134,100</w:t>
            </w:r>
          </w:p>
        </w:tc>
        <w:tc>
          <w:tcPr>
            <w:tcW w:w="675" w:type="dxa"/>
            <w:tcBorders>
              <w:top w:val="nil"/>
              <w:left w:val="nil"/>
              <w:bottom w:val="nil"/>
              <w:right w:val="single" w:sz="4" w:space="0" w:color="auto"/>
            </w:tcBorders>
            <w:shd w:val="clear" w:color="000000" w:fill="FF99CC"/>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1%</w:t>
            </w:r>
          </w:p>
        </w:tc>
        <w:tc>
          <w:tcPr>
            <w:tcW w:w="993" w:type="dxa"/>
            <w:tcBorders>
              <w:top w:val="nil"/>
              <w:left w:val="nil"/>
              <w:bottom w:val="nil"/>
              <w:right w:val="single" w:sz="4" w:space="0" w:color="auto"/>
            </w:tcBorders>
            <w:shd w:val="clear" w:color="000000" w:fill="99CC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£135,200</w:t>
            </w:r>
          </w:p>
        </w:tc>
        <w:tc>
          <w:tcPr>
            <w:tcW w:w="709" w:type="dxa"/>
            <w:tcBorders>
              <w:top w:val="nil"/>
              <w:left w:val="nil"/>
              <w:bottom w:val="nil"/>
              <w:right w:val="single" w:sz="4" w:space="0" w:color="auto"/>
            </w:tcBorders>
            <w:shd w:val="clear" w:color="000000" w:fill="99CC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1%</w:t>
            </w:r>
          </w:p>
        </w:tc>
        <w:tc>
          <w:tcPr>
            <w:tcW w:w="992" w:type="dxa"/>
            <w:tcBorders>
              <w:top w:val="nil"/>
              <w:left w:val="nil"/>
              <w:bottom w:val="nil"/>
              <w:right w:val="single" w:sz="4" w:space="0" w:color="auto"/>
            </w:tcBorders>
            <w:shd w:val="clear" w:color="000000" w:fill="CC99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£136,300</w:t>
            </w:r>
          </w:p>
        </w:tc>
        <w:tc>
          <w:tcPr>
            <w:tcW w:w="709" w:type="dxa"/>
            <w:tcBorders>
              <w:top w:val="nil"/>
              <w:left w:val="nil"/>
              <w:bottom w:val="nil"/>
              <w:right w:val="single" w:sz="4" w:space="0" w:color="auto"/>
            </w:tcBorders>
            <w:shd w:val="clear" w:color="000000" w:fill="CC99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1%</w:t>
            </w:r>
          </w:p>
        </w:tc>
        <w:tc>
          <w:tcPr>
            <w:tcW w:w="992" w:type="dxa"/>
            <w:tcBorders>
              <w:top w:val="nil"/>
              <w:left w:val="nil"/>
              <w:bottom w:val="nil"/>
              <w:right w:val="single" w:sz="4" w:space="0" w:color="auto"/>
            </w:tcBorders>
            <w:shd w:val="clear" w:color="000000" w:fill="EBF1DE"/>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£137,300</w:t>
            </w:r>
          </w:p>
        </w:tc>
        <w:tc>
          <w:tcPr>
            <w:tcW w:w="709" w:type="dxa"/>
            <w:tcBorders>
              <w:top w:val="nil"/>
              <w:left w:val="nil"/>
              <w:bottom w:val="nil"/>
              <w:right w:val="single" w:sz="4" w:space="0" w:color="auto"/>
            </w:tcBorders>
            <w:shd w:val="clear" w:color="000000" w:fill="EBF1DE"/>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1%</w:t>
            </w:r>
          </w:p>
        </w:tc>
        <w:tc>
          <w:tcPr>
            <w:tcW w:w="1700"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sz w:val="12"/>
                <w:szCs w:val="12"/>
              </w:rPr>
            </w:pPr>
          </w:p>
        </w:tc>
      </w:tr>
      <w:tr w:rsidR="00F65F74" w:rsidRPr="00F65F74" w:rsidTr="00567A1F">
        <w:trPr>
          <w:trHeight w:val="68"/>
        </w:trPr>
        <w:tc>
          <w:tcPr>
            <w:tcW w:w="2694" w:type="dxa"/>
            <w:tcBorders>
              <w:top w:val="nil"/>
              <w:left w:val="single" w:sz="4" w:space="0" w:color="auto"/>
              <w:bottom w:val="nil"/>
              <w:right w:val="single" w:sz="4" w:space="0" w:color="auto"/>
            </w:tcBorders>
            <w:shd w:val="clear" w:color="auto" w:fill="auto"/>
            <w:noWrap/>
            <w:vAlign w:val="bottom"/>
            <w:hideMark/>
          </w:tcPr>
          <w:p w:rsidR="00F65F74" w:rsidRPr="00F65F74" w:rsidRDefault="00F65F74">
            <w:pPr>
              <w:rPr>
                <w:rFonts w:ascii="Arial" w:hAnsi="Arial" w:cs="Arial"/>
                <w:sz w:val="12"/>
                <w:szCs w:val="12"/>
              </w:rPr>
            </w:pPr>
            <w:r w:rsidRPr="00F65F74">
              <w:rPr>
                <w:rFonts w:ascii="Arial" w:hAnsi="Arial" w:cs="Arial"/>
                <w:sz w:val="12"/>
                <w:szCs w:val="12"/>
              </w:rPr>
              <w:t>Training &amp; Other Income</w:t>
            </w:r>
          </w:p>
        </w:tc>
        <w:tc>
          <w:tcPr>
            <w:tcW w:w="884" w:type="dxa"/>
            <w:tcBorders>
              <w:top w:val="nil"/>
              <w:left w:val="single" w:sz="4" w:space="0" w:color="auto"/>
              <w:bottom w:val="nil"/>
              <w:right w:val="single" w:sz="4" w:space="0" w:color="auto"/>
            </w:tcBorders>
            <w:shd w:val="clear" w:color="000000" w:fill="C4D79B"/>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£11,621</w:t>
            </w:r>
          </w:p>
        </w:tc>
        <w:tc>
          <w:tcPr>
            <w:tcW w:w="637" w:type="dxa"/>
            <w:tcBorders>
              <w:top w:val="nil"/>
              <w:left w:val="nil"/>
              <w:bottom w:val="nil"/>
              <w:right w:val="nil"/>
            </w:tcBorders>
            <w:shd w:val="clear" w:color="000000" w:fill="C4D79B"/>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310%</w:t>
            </w:r>
          </w:p>
        </w:tc>
        <w:tc>
          <w:tcPr>
            <w:tcW w:w="922" w:type="dxa"/>
            <w:tcBorders>
              <w:top w:val="nil"/>
              <w:left w:val="single" w:sz="4" w:space="0" w:color="auto"/>
              <w:bottom w:val="nil"/>
              <w:right w:val="single" w:sz="4" w:space="0" w:color="auto"/>
            </w:tcBorders>
            <w:shd w:val="clear" w:color="000000" w:fill="FFFF99"/>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£1,716</w:t>
            </w:r>
          </w:p>
        </w:tc>
        <w:tc>
          <w:tcPr>
            <w:tcW w:w="717" w:type="dxa"/>
            <w:tcBorders>
              <w:top w:val="nil"/>
              <w:left w:val="nil"/>
              <w:bottom w:val="nil"/>
              <w:right w:val="single" w:sz="12" w:space="0" w:color="auto"/>
            </w:tcBorders>
            <w:shd w:val="clear" w:color="000000" w:fill="FFFF99"/>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-85%</w:t>
            </w:r>
          </w:p>
        </w:tc>
        <w:tc>
          <w:tcPr>
            <w:tcW w:w="884" w:type="dxa"/>
            <w:tcBorders>
              <w:top w:val="nil"/>
              <w:left w:val="single" w:sz="4" w:space="0" w:color="auto"/>
              <w:bottom w:val="nil"/>
              <w:right w:val="single" w:sz="4" w:space="0" w:color="auto"/>
            </w:tcBorders>
            <w:shd w:val="clear" w:color="000000" w:fill="FABF8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£300</w:t>
            </w:r>
          </w:p>
        </w:tc>
        <w:tc>
          <w:tcPr>
            <w:tcW w:w="775" w:type="dxa"/>
            <w:tcBorders>
              <w:top w:val="nil"/>
              <w:left w:val="nil"/>
              <w:bottom w:val="nil"/>
              <w:right w:val="single" w:sz="12" w:space="0" w:color="auto"/>
            </w:tcBorders>
            <w:shd w:val="clear" w:color="000000" w:fill="FABF8F"/>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-83%</w:t>
            </w:r>
          </w:p>
        </w:tc>
        <w:tc>
          <w:tcPr>
            <w:tcW w:w="884" w:type="dxa"/>
            <w:tcBorders>
              <w:top w:val="nil"/>
              <w:left w:val="single" w:sz="4" w:space="0" w:color="auto"/>
              <w:bottom w:val="nil"/>
              <w:right w:val="single" w:sz="4" w:space="0" w:color="auto"/>
            </w:tcBorders>
            <w:shd w:val="clear" w:color="000000" w:fill="FF99CC"/>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£300</w:t>
            </w:r>
          </w:p>
        </w:tc>
        <w:tc>
          <w:tcPr>
            <w:tcW w:w="675" w:type="dxa"/>
            <w:tcBorders>
              <w:top w:val="nil"/>
              <w:left w:val="nil"/>
              <w:bottom w:val="nil"/>
              <w:right w:val="single" w:sz="4" w:space="0" w:color="auto"/>
            </w:tcBorders>
            <w:shd w:val="clear" w:color="000000" w:fill="FF99CC"/>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0%</w:t>
            </w:r>
          </w:p>
        </w:tc>
        <w:tc>
          <w:tcPr>
            <w:tcW w:w="993" w:type="dxa"/>
            <w:tcBorders>
              <w:top w:val="nil"/>
              <w:left w:val="nil"/>
              <w:bottom w:val="nil"/>
              <w:right w:val="single" w:sz="4" w:space="0" w:color="auto"/>
            </w:tcBorders>
            <w:shd w:val="clear" w:color="000000" w:fill="99CC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£300</w:t>
            </w:r>
          </w:p>
        </w:tc>
        <w:tc>
          <w:tcPr>
            <w:tcW w:w="709" w:type="dxa"/>
            <w:tcBorders>
              <w:top w:val="nil"/>
              <w:left w:val="nil"/>
              <w:bottom w:val="nil"/>
              <w:right w:val="single" w:sz="4" w:space="0" w:color="auto"/>
            </w:tcBorders>
            <w:shd w:val="clear" w:color="000000" w:fill="99CC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0%</w:t>
            </w:r>
          </w:p>
        </w:tc>
        <w:tc>
          <w:tcPr>
            <w:tcW w:w="992" w:type="dxa"/>
            <w:tcBorders>
              <w:top w:val="nil"/>
              <w:left w:val="nil"/>
              <w:bottom w:val="nil"/>
              <w:right w:val="single" w:sz="4" w:space="0" w:color="auto"/>
            </w:tcBorders>
            <w:shd w:val="clear" w:color="000000" w:fill="CC99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£300</w:t>
            </w:r>
          </w:p>
        </w:tc>
        <w:tc>
          <w:tcPr>
            <w:tcW w:w="709" w:type="dxa"/>
            <w:tcBorders>
              <w:top w:val="nil"/>
              <w:left w:val="nil"/>
              <w:bottom w:val="nil"/>
              <w:right w:val="single" w:sz="4" w:space="0" w:color="auto"/>
            </w:tcBorders>
            <w:shd w:val="clear" w:color="000000" w:fill="CC99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0%</w:t>
            </w:r>
          </w:p>
        </w:tc>
        <w:tc>
          <w:tcPr>
            <w:tcW w:w="992" w:type="dxa"/>
            <w:tcBorders>
              <w:top w:val="nil"/>
              <w:left w:val="nil"/>
              <w:bottom w:val="nil"/>
              <w:right w:val="single" w:sz="4" w:space="0" w:color="auto"/>
            </w:tcBorders>
            <w:shd w:val="clear" w:color="000000" w:fill="EBF1DE"/>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£300</w:t>
            </w:r>
          </w:p>
        </w:tc>
        <w:tc>
          <w:tcPr>
            <w:tcW w:w="709" w:type="dxa"/>
            <w:tcBorders>
              <w:top w:val="nil"/>
              <w:left w:val="nil"/>
              <w:bottom w:val="nil"/>
              <w:right w:val="single" w:sz="4" w:space="0" w:color="auto"/>
            </w:tcBorders>
            <w:shd w:val="clear" w:color="000000" w:fill="EBF1DE"/>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0%</w:t>
            </w:r>
          </w:p>
        </w:tc>
        <w:tc>
          <w:tcPr>
            <w:tcW w:w="1700"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sz w:val="12"/>
                <w:szCs w:val="12"/>
              </w:rPr>
            </w:pPr>
          </w:p>
        </w:tc>
      </w:tr>
      <w:tr w:rsidR="00F65F74" w:rsidRPr="00F65F74" w:rsidTr="00567A1F">
        <w:trPr>
          <w:trHeight w:val="38"/>
        </w:trPr>
        <w:tc>
          <w:tcPr>
            <w:tcW w:w="269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65F74" w:rsidRPr="00F65F74" w:rsidRDefault="00F65F74">
            <w:pPr>
              <w:rPr>
                <w:rFonts w:ascii="Arial" w:hAnsi="Arial" w:cs="Arial"/>
                <w:b/>
                <w:bCs/>
                <w:sz w:val="12"/>
                <w:szCs w:val="12"/>
              </w:rPr>
            </w:pPr>
            <w:r w:rsidRPr="00F65F74">
              <w:rPr>
                <w:rFonts w:ascii="Arial" w:hAnsi="Arial" w:cs="Arial"/>
                <w:b/>
                <w:bCs/>
                <w:sz w:val="12"/>
                <w:szCs w:val="12"/>
              </w:rPr>
              <w:t>Total Income (exc. precept etc)</w:t>
            </w:r>
          </w:p>
        </w:tc>
        <w:tc>
          <w:tcPr>
            <w:tcW w:w="884" w:type="dxa"/>
            <w:tcBorders>
              <w:top w:val="single" w:sz="8" w:space="0" w:color="auto"/>
              <w:left w:val="single" w:sz="4" w:space="0" w:color="auto"/>
              <w:bottom w:val="single" w:sz="8" w:space="0" w:color="auto"/>
              <w:right w:val="single" w:sz="4" w:space="0" w:color="auto"/>
            </w:tcBorders>
            <w:shd w:val="clear" w:color="000000" w:fill="C4D79B"/>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£197,129</w:t>
            </w:r>
          </w:p>
        </w:tc>
        <w:tc>
          <w:tcPr>
            <w:tcW w:w="637" w:type="dxa"/>
            <w:tcBorders>
              <w:top w:val="single" w:sz="8" w:space="0" w:color="auto"/>
              <w:left w:val="nil"/>
              <w:bottom w:val="single" w:sz="8" w:space="0" w:color="auto"/>
              <w:right w:val="nil"/>
            </w:tcBorders>
            <w:shd w:val="clear" w:color="000000" w:fill="C4D79B"/>
            <w:noWrap/>
            <w:vAlign w:val="bottom"/>
            <w:hideMark/>
          </w:tcPr>
          <w:p w:rsidR="00F65F74" w:rsidRPr="00F65F74" w:rsidRDefault="00F65F74">
            <w:pPr>
              <w:jc w:val="center"/>
              <w:rPr>
                <w:rFonts w:ascii="Arial" w:hAnsi="Arial" w:cs="Arial"/>
                <w:b/>
                <w:bCs/>
                <w:color w:val="000000"/>
                <w:sz w:val="12"/>
                <w:szCs w:val="12"/>
              </w:rPr>
            </w:pPr>
            <w:r w:rsidRPr="00F65F74">
              <w:rPr>
                <w:rFonts w:ascii="Arial" w:hAnsi="Arial" w:cs="Arial"/>
                <w:b/>
                <w:bCs/>
                <w:color w:val="000000"/>
                <w:sz w:val="12"/>
                <w:szCs w:val="12"/>
              </w:rPr>
              <w:t>30%</w:t>
            </w:r>
          </w:p>
        </w:tc>
        <w:tc>
          <w:tcPr>
            <w:tcW w:w="922" w:type="dxa"/>
            <w:tcBorders>
              <w:top w:val="single" w:sz="12" w:space="0" w:color="auto"/>
              <w:left w:val="single" w:sz="4" w:space="0" w:color="auto"/>
              <w:bottom w:val="single" w:sz="12" w:space="0" w:color="auto"/>
              <w:right w:val="single" w:sz="4" w:space="0" w:color="auto"/>
            </w:tcBorders>
            <w:shd w:val="clear" w:color="000000" w:fill="FFFF99"/>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£380,764</w:t>
            </w:r>
          </w:p>
        </w:tc>
        <w:tc>
          <w:tcPr>
            <w:tcW w:w="717" w:type="dxa"/>
            <w:tcBorders>
              <w:top w:val="single" w:sz="8" w:space="0" w:color="auto"/>
              <w:left w:val="nil"/>
              <w:bottom w:val="single" w:sz="8" w:space="0" w:color="auto"/>
              <w:right w:val="single" w:sz="12" w:space="0" w:color="auto"/>
            </w:tcBorders>
            <w:shd w:val="clear" w:color="000000" w:fill="FFFF99"/>
            <w:noWrap/>
            <w:vAlign w:val="bottom"/>
            <w:hideMark/>
          </w:tcPr>
          <w:p w:rsidR="00F65F74" w:rsidRPr="00F65F74" w:rsidRDefault="00F65F74">
            <w:pPr>
              <w:jc w:val="center"/>
              <w:rPr>
                <w:rFonts w:ascii="Arial" w:hAnsi="Arial" w:cs="Arial"/>
                <w:b/>
                <w:bCs/>
                <w:color w:val="000000"/>
                <w:sz w:val="12"/>
                <w:szCs w:val="12"/>
              </w:rPr>
            </w:pPr>
            <w:r w:rsidRPr="00F65F74">
              <w:rPr>
                <w:rFonts w:ascii="Arial" w:hAnsi="Arial" w:cs="Arial"/>
                <w:b/>
                <w:bCs/>
                <w:color w:val="000000"/>
                <w:sz w:val="12"/>
                <w:szCs w:val="12"/>
              </w:rPr>
              <w:t>93%</w:t>
            </w:r>
          </w:p>
        </w:tc>
        <w:tc>
          <w:tcPr>
            <w:tcW w:w="884" w:type="dxa"/>
            <w:tcBorders>
              <w:top w:val="single" w:sz="8" w:space="0" w:color="auto"/>
              <w:left w:val="nil"/>
              <w:bottom w:val="single" w:sz="8" w:space="0" w:color="auto"/>
              <w:right w:val="single" w:sz="4" w:space="0" w:color="auto"/>
            </w:tcBorders>
            <w:shd w:val="clear" w:color="000000" w:fill="FABF8F"/>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£150,274</w:t>
            </w:r>
          </w:p>
        </w:tc>
        <w:tc>
          <w:tcPr>
            <w:tcW w:w="775" w:type="dxa"/>
            <w:tcBorders>
              <w:top w:val="single" w:sz="8" w:space="0" w:color="auto"/>
              <w:left w:val="nil"/>
              <w:bottom w:val="single" w:sz="8" w:space="0" w:color="auto"/>
              <w:right w:val="single" w:sz="12" w:space="0" w:color="auto"/>
            </w:tcBorders>
            <w:shd w:val="clear" w:color="000000" w:fill="FABF8F"/>
            <w:noWrap/>
            <w:vAlign w:val="bottom"/>
            <w:hideMark/>
          </w:tcPr>
          <w:p w:rsidR="00F65F74" w:rsidRPr="00F65F74" w:rsidRDefault="00F65F74">
            <w:pPr>
              <w:jc w:val="center"/>
              <w:rPr>
                <w:rFonts w:ascii="Arial" w:hAnsi="Arial" w:cs="Arial"/>
                <w:b/>
                <w:bCs/>
                <w:color w:val="000000"/>
                <w:sz w:val="12"/>
                <w:szCs w:val="12"/>
              </w:rPr>
            </w:pPr>
            <w:r w:rsidRPr="00F65F74">
              <w:rPr>
                <w:rFonts w:ascii="Arial" w:hAnsi="Arial" w:cs="Arial"/>
                <w:b/>
                <w:bCs/>
                <w:color w:val="000000"/>
                <w:sz w:val="12"/>
                <w:szCs w:val="12"/>
              </w:rPr>
              <w:t>-61%</w:t>
            </w:r>
          </w:p>
        </w:tc>
        <w:tc>
          <w:tcPr>
            <w:tcW w:w="884" w:type="dxa"/>
            <w:tcBorders>
              <w:top w:val="single" w:sz="8" w:space="0" w:color="auto"/>
              <w:left w:val="nil"/>
              <w:bottom w:val="single" w:sz="8" w:space="0" w:color="auto"/>
              <w:right w:val="single" w:sz="4" w:space="0" w:color="auto"/>
            </w:tcBorders>
            <w:shd w:val="clear" w:color="000000" w:fill="FF99CC"/>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£139,200</w:t>
            </w:r>
          </w:p>
        </w:tc>
        <w:tc>
          <w:tcPr>
            <w:tcW w:w="675" w:type="dxa"/>
            <w:tcBorders>
              <w:top w:val="single" w:sz="8" w:space="0" w:color="auto"/>
              <w:left w:val="nil"/>
              <w:bottom w:val="single" w:sz="8" w:space="0" w:color="auto"/>
              <w:right w:val="single" w:sz="4" w:space="0" w:color="auto"/>
            </w:tcBorders>
            <w:shd w:val="clear" w:color="000000" w:fill="FF99CC"/>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-7%</w:t>
            </w:r>
          </w:p>
        </w:tc>
        <w:tc>
          <w:tcPr>
            <w:tcW w:w="993" w:type="dxa"/>
            <w:tcBorders>
              <w:top w:val="single" w:sz="8" w:space="0" w:color="auto"/>
              <w:left w:val="nil"/>
              <w:bottom w:val="single" w:sz="8" w:space="0" w:color="auto"/>
              <w:right w:val="single" w:sz="4" w:space="0" w:color="auto"/>
            </w:tcBorders>
            <w:shd w:val="clear" w:color="000000" w:fill="99CCFF"/>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£140,300</w:t>
            </w:r>
          </w:p>
        </w:tc>
        <w:tc>
          <w:tcPr>
            <w:tcW w:w="709" w:type="dxa"/>
            <w:tcBorders>
              <w:top w:val="single" w:sz="8" w:space="0" w:color="auto"/>
              <w:left w:val="nil"/>
              <w:bottom w:val="single" w:sz="8" w:space="0" w:color="auto"/>
              <w:right w:val="single" w:sz="4" w:space="0" w:color="auto"/>
            </w:tcBorders>
            <w:shd w:val="clear" w:color="000000" w:fill="99CCFF"/>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1%</w:t>
            </w:r>
          </w:p>
        </w:tc>
        <w:tc>
          <w:tcPr>
            <w:tcW w:w="992" w:type="dxa"/>
            <w:tcBorders>
              <w:top w:val="single" w:sz="8" w:space="0" w:color="auto"/>
              <w:left w:val="nil"/>
              <w:bottom w:val="single" w:sz="8" w:space="0" w:color="auto"/>
              <w:right w:val="single" w:sz="4" w:space="0" w:color="auto"/>
            </w:tcBorders>
            <w:shd w:val="clear" w:color="000000" w:fill="CC99FF"/>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£141,500</w:t>
            </w:r>
          </w:p>
        </w:tc>
        <w:tc>
          <w:tcPr>
            <w:tcW w:w="709" w:type="dxa"/>
            <w:tcBorders>
              <w:top w:val="single" w:sz="8" w:space="0" w:color="auto"/>
              <w:left w:val="nil"/>
              <w:bottom w:val="single" w:sz="8" w:space="0" w:color="auto"/>
              <w:right w:val="single" w:sz="4" w:space="0" w:color="auto"/>
            </w:tcBorders>
            <w:shd w:val="clear" w:color="000000" w:fill="CC99FF"/>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1%</w:t>
            </w:r>
          </w:p>
        </w:tc>
        <w:tc>
          <w:tcPr>
            <w:tcW w:w="992" w:type="dxa"/>
            <w:tcBorders>
              <w:top w:val="single" w:sz="8" w:space="0" w:color="auto"/>
              <w:left w:val="nil"/>
              <w:bottom w:val="single" w:sz="8" w:space="0" w:color="auto"/>
              <w:right w:val="single" w:sz="4" w:space="0" w:color="auto"/>
            </w:tcBorders>
            <w:shd w:val="clear" w:color="000000" w:fill="EBF1DE"/>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£142,600</w:t>
            </w:r>
          </w:p>
        </w:tc>
        <w:tc>
          <w:tcPr>
            <w:tcW w:w="709" w:type="dxa"/>
            <w:tcBorders>
              <w:top w:val="single" w:sz="8" w:space="0" w:color="auto"/>
              <w:left w:val="nil"/>
              <w:bottom w:val="single" w:sz="8" w:space="0" w:color="auto"/>
              <w:right w:val="single" w:sz="4" w:space="0" w:color="auto"/>
            </w:tcBorders>
            <w:shd w:val="clear" w:color="000000" w:fill="EBF1DE"/>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1%</w:t>
            </w:r>
          </w:p>
        </w:tc>
        <w:tc>
          <w:tcPr>
            <w:tcW w:w="1700"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b/>
                <w:bCs/>
                <w:sz w:val="12"/>
                <w:szCs w:val="12"/>
              </w:rPr>
            </w:pPr>
          </w:p>
        </w:tc>
      </w:tr>
      <w:tr w:rsidR="00F65F74" w:rsidRPr="00F65F74" w:rsidTr="00567A1F">
        <w:trPr>
          <w:trHeight w:val="38"/>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F65F74" w:rsidRPr="00F65F74" w:rsidRDefault="00F65F74">
            <w:pPr>
              <w:rPr>
                <w:rFonts w:ascii="Arial" w:hAnsi="Arial" w:cs="Arial"/>
                <w:b/>
                <w:bCs/>
                <w:sz w:val="12"/>
                <w:szCs w:val="12"/>
              </w:rPr>
            </w:pPr>
            <w:r w:rsidRPr="00F65F74">
              <w:rPr>
                <w:rFonts w:ascii="Arial" w:hAnsi="Arial" w:cs="Arial"/>
                <w:b/>
                <w:bCs/>
                <w:sz w:val="12"/>
                <w:szCs w:val="12"/>
              </w:rPr>
              <w:t>EXPENDITURE</w:t>
            </w:r>
          </w:p>
        </w:tc>
        <w:tc>
          <w:tcPr>
            <w:tcW w:w="884" w:type="dxa"/>
            <w:tcBorders>
              <w:top w:val="nil"/>
              <w:left w:val="single" w:sz="4" w:space="0" w:color="auto"/>
              <w:bottom w:val="single" w:sz="4" w:space="0" w:color="auto"/>
              <w:right w:val="nil"/>
            </w:tcBorders>
            <w:shd w:val="clear" w:color="000000" w:fill="FFFFFF"/>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637" w:type="dxa"/>
            <w:tcBorders>
              <w:top w:val="nil"/>
              <w:left w:val="nil"/>
              <w:bottom w:val="single" w:sz="4" w:space="0" w:color="auto"/>
              <w:right w:val="nil"/>
            </w:tcBorders>
            <w:shd w:val="clear" w:color="000000" w:fill="FFFFFF"/>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922" w:type="dxa"/>
            <w:tcBorders>
              <w:top w:val="nil"/>
              <w:left w:val="single" w:sz="4" w:space="0" w:color="auto"/>
              <w:bottom w:val="single" w:sz="4" w:space="0" w:color="auto"/>
              <w:right w:val="nil"/>
            </w:tcBorders>
            <w:shd w:val="clear" w:color="000000" w:fill="FFFFFF"/>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717" w:type="dxa"/>
            <w:tcBorders>
              <w:top w:val="nil"/>
              <w:left w:val="nil"/>
              <w:bottom w:val="single" w:sz="4" w:space="0" w:color="auto"/>
              <w:right w:val="single" w:sz="12" w:space="0" w:color="auto"/>
            </w:tcBorders>
            <w:shd w:val="clear" w:color="000000" w:fill="FFFFFF"/>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884" w:type="dxa"/>
            <w:tcBorders>
              <w:top w:val="nil"/>
              <w:left w:val="nil"/>
              <w:bottom w:val="single" w:sz="4" w:space="0" w:color="auto"/>
              <w:right w:val="nil"/>
            </w:tcBorders>
            <w:shd w:val="clear" w:color="000000" w:fill="FFFFFF"/>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775" w:type="dxa"/>
            <w:tcBorders>
              <w:top w:val="nil"/>
              <w:left w:val="nil"/>
              <w:bottom w:val="single" w:sz="4" w:space="0" w:color="auto"/>
              <w:right w:val="single" w:sz="12" w:space="0" w:color="auto"/>
            </w:tcBorders>
            <w:shd w:val="clear" w:color="000000" w:fill="FFFFFF"/>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884" w:type="dxa"/>
            <w:tcBorders>
              <w:top w:val="nil"/>
              <w:left w:val="nil"/>
              <w:bottom w:val="single" w:sz="4" w:space="0" w:color="auto"/>
              <w:right w:val="nil"/>
            </w:tcBorders>
            <w:shd w:val="clear" w:color="000000" w:fill="FFFFFF"/>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675" w:type="dxa"/>
            <w:tcBorders>
              <w:top w:val="nil"/>
              <w:left w:val="nil"/>
              <w:bottom w:val="single" w:sz="4" w:space="0" w:color="auto"/>
              <w:right w:val="nil"/>
            </w:tcBorders>
            <w:shd w:val="clear" w:color="000000" w:fill="FFFFFF"/>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993" w:type="dxa"/>
            <w:tcBorders>
              <w:top w:val="nil"/>
              <w:left w:val="nil"/>
              <w:bottom w:val="single" w:sz="4" w:space="0" w:color="auto"/>
              <w:right w:val="nil"/>
            </w:tcBorders>
            <w:shd w:val="clear" w:color="000000" w:fill="FFFFFF"/>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709" w:type="dxa"/>
            <w:tcBorders>
              <w:top w:val="nil"/>
              <w:left w:val="nil"/>
              <w:bottom w:val="single" w:sz="4" w:space="0" w:color="auto"/>
              <w:right w:val="nil"/>
            </w:tcBorders>
            <w:shd w:val="clear" w:color="000000" w:fill="FFFFFF"/>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992" w:type="dxa"/>
            <w:tcBorders>
              <w:top w:val="nil"/>
              <w:left w:val="nil"/>
              <w:bottom w:val="single" w:sz="4" w:space="0" w:color="auto"/>
              <w:right w:val="nil"/>
            </w:tcBorders>
            <w:shd w:val="clear" w:color="000000" w:fill="FFFFFF"/>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709" w:type="dxa"/>
            <w:tcBorders>
              <w:top w:val="nil"/>
              <w:left w:val="nil"/>
              <w:bottom w:val="single" w:sz="4" w:space="0" w:color="auto"/>
              <w:right w:val="nil"/>
            </w:tcBorders>
            <w:shd w:val="clear" w:color="000000" w:fill="FFFFFF"/>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992" w:type="dxa"/>
            <w:tcBorders>
              <w:top w:val="nil"/>
              <w:left w:val="nil"/>
              <w:bottom w:val="single" w:sz="4" w:space="0" w:color="auto"/>
              <w:right w:val="nil"/>
            </w:tcBorders>
            <w:shd w:val="clear" w:color="000000" w:fill="FFFFFF"/>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709" w:type="dxa"/>
            <w:tcBorders>
              <w:top w:val="nil"/>
              <w:left w:val="nil"/>
              <w:bottom w:val="single" w:sz="4" w:space="0" w:color="auto"/>
              <w:right w:val="nil"/>
            </w:tcBorders>
            <w:shd w:val="clear" w:color="000000" w:fill="FFFFFF"/>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1700"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sz w:val="12"/>
                <w:szCs w:val="12"/>
              </w:rPr>
            </w:pPr>
          </w:p>
        </w:tc>
      </w:tr>
      <w:tr w:rsidR="00F65F74" w:rsidRPr="00F65F74" w:rsidTr="00567A1F">
        <w:trPr>
          <w:trHeight w:val="58"/>
        </w:trPr>
        <w:tc>
          <w:tcPr>
            <w:tcW w:w="2694" w:type="dxa"/>
            <w:tcBorders>
              <w:top w:val="nil"/>
              <w:left w:val="single" w:sz="4" w:space="0" w:color="auto"/>
              <w:bottom w:val="nil"/>
              <w:right w:val="single" w:sz="4" w:space="0" w:color="auto"/>
            </w:tcBorders>
            <w:shd w:val="clear" w:color="auto" w:fill="auto"/>
            <w:noWrap/>
            <w:vAlign w:val="bottom"/>
            <w:hideMark/>
          </w:tcPr>
          <w:p w:rsidR="00F65F74" w:rsidRPr="00F65F74" w:rsidRDefault="00F65F74">
            <w:pPr>
              <w:rPr>
                <w:rFonts w:ascii="Arial" w:hAnsi="Arial" w:cs="Arial"/>
                <w:sz w:val="12"/>
                <w:szCs w:val="12"/>
              </w:rPr>
            </w:pPr>
            <w:r w:rsidRPr="00F65F74">
              <w:rPr>
                <w:rFonts w:ascii="Arial" w:hAnsi="Arial" w:cs="Arial"/>
                <w:sz w:val="12"/>
                <w:szCs w:val="12"/>
              </w:rPr>
              <w:t xml:space="preserve">Non Activity Centre Costs </w:t>
            </w:r>
          </w:p>
        </w:tc>
        <w:tc>
          <w:tcPr>
            <w:tcW w:w="884" w:type="dxa"/>
            <w:tcBorders>
              <w:top w:val="nil"/>
              <w:left w:val="single" w:sz="4" w:space="0" w:color="auto"/>
              <w:bottom w:val="nil"/>
              <w:right w:val="single" w:sz="4" w:space="0" w:color="auto"/>
            </w:tcBorders>
            <w:shd w:val="clear" w:color="000000" w:fill="C4D79B"/>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£532,918</w:t>
            </w:r>
          </w:p>
        </w:tc>
        <w:tc>
          <w:tcPr>
            <w:tcW w:w="637" w:type="dxa"/>
            <w:tcBorders>
              <w:top w:val="nil"/>
              <w:left w:val="nil"/>
              <w:bottom w:val="nil"/>
              <w:right w:val="nil"/>
            </w:tcBorders>
            <w:shd w:val="clear" w:color="000000" w:fill="C4D79B"/>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0%</w:t>
            </w:r>
          </w:p>
        </w:tc>
        <w:tc>
          <w:tcPr>
            <w:tcW w:w="922" w:type="dxa"/>
            <w:tcBorders>
              <w:top w:val="nil"/>
              <w:left w:val="single" w:sz="4" w:space="0" w:color="auto"/>
              <w:bottom w:val="nil"/>
              <w:right w:val="single" w:sz="4" w:space="0" w:color="auto"/>
            </w:tcBorders>
            <w:shd w:val="clear" w:color="000000" w:fill="FFFF99"/>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£550,049</w:t>
            </w:r>
          </w:p>
        </w:tc>
        <w:tc>
          <w:tcPr>
            <w:tcW w:w="717" w:type="dxa"/>
            <w:tcBorders>
              <w:top w:val="nil"/>
              <w:left w:val="nil"/>
              <w:bottom w:val="nil"/>
              <w:right w:val="single" w:sz="12" w:space="0" w:color="auto"/>
            </w:tcBorders>
            <w:shd w:val="clear" w:color="000000" w:fill="FFFF99"/>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3%</w:t>
            </w:r>
          </w:p>
        </w:tc>
        <w:tc>
          <w:tcPr>
            <w:tcW w:w="884" w:type="dxa"/>
            <w:tcBorders>
              <w:top w:val="nil"/>
              <w:left w:val="nil"/>
              <w:bottom w:val="nil"/>
              <w:right w:val="single" w:sz="4" w:space="0" w:color="auto"/>
            </w:tcBorders>
            <w:shd w:val="clear" w:color="000000" w:fill="FABF8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£663,714</w:t>
            </w:r>
          </w:p>
        </w:tc>
        <w:tc>
          <w:tcPr>
            <w:tcW w:w="775" w:type="dxa"/>
            <w:tcBorders>
              <w:top w:val="nil"/>
              <w:left w:val="nil"/>
              <w:bottom w:val="nil"/>
              <w:right w:val="single" w:sz="12" w:space="0" w:color="auto"/>
            </w:tcBorders>
            <w:shd w:val="clear" w:color="000000" w:fill="FABF8F"/>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21%</w:t>
            </w:r>
          </w:p>
        </w:tc>
        <w:tc>
          <w:tcPr>
            <w:tcW w:w="884" w:type="dxa"/>
            <w:tcBorders>
              <w:top w:val="nil"/>
              <w:left w:val="nil"/>
              <w:bottom w:val="nil"/>
              <w:right w:val="single" w:sz="4" w:space="0" w:color="auto"/>
            </w:tcBorders>
            <w:shd w:val="clear" w:color="000000" w:fill="FF99CC"/>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£639,802</w:t>
            </w:r>
          </w:p>
        </w:tc>
        <w:tc>
          <w:tcPr>
            <w:tcW w:w="675" w:type="dxa"/>
            <w:tcBorders>
              <w:top w:val="nil"/>
              <w:left w:val="nil"/>
              <w:bottom w:val="nil"/>
              <w:right w:val="single" w:sz="4" w:space="0" w:color="auto"/>
            </w:tcBorders>
            <w:shd w:val="clear" w:color="000000" w:fill="FF99CC"/>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-4%</w:t>
            </w:r>
          </w:p>
        </w:tc>
        <w:tc>
          <w:tcPr>
            <w:tcW w:w="993" w:type="dxa"/>
            <w:tcBorders>
              <w:top w:val="nil"/>
              <w:left w:val="nil"/>
              <w:bottom w:val="nil"/>
              <w:right w:val="single" w:sz="4" w:space="0" w:color="auto"/>
            </w:tcBorders>
            <w:shd w:val="clear" w:color="000000" w:fill="99CC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£656,440</w:t>
            </w:r>
          </w:p>
        </w:tc>
        <w:tc>
          <w:tcPr>
            <w:tcW w:w="709" w:type="dxa"/>
            <w:tcBorders>
              <w:top w:val="nil"/>
              <w:left w:val="nil"/>
              <w:bottom w:val="nil"/>
              <w:right w:val="single" w:sz="4" w:space="0" w:color="auto"/>
            </w:tcBorders>
            <w:shd w:val="clear" w:color="000000" w:fill="99CCFF"/>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3%</w:t>
            </w:r>
          </w:p>
        </w:tc>
        <w:tc>
          <w:tcPr>
            <w:tcW w:w="992" w:type="dxa"/>
            <w:tcBorders>
              <w:top w:val="nil"/>
              <w:left w:val="nil"/>
              <w:bottom w:val="nil"/>
              <w:right w:val="single" w:sz="4" w:space="0" w:color="auto"/>
            </w:tcBorders>
            <w:shd w:val="clear" w:color="000000" w:fill="CC99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£667,879</w:t>
            </w:r>
          </w:p>
        </w:tc>
        <w:tc>
          <w:tcPr>
            <w:tcW w:w="709" w:type="dxa"/>
            <w:tcBorders>
              <w:top w:val="nil"/>
              <w:left w:val="nil"/>
              <w:bottom w:val="nil"/>
              <w:right w:val="single" w:sz="4" w:space="0" w:color="auto"/>
            </w:tcBorders>
            <w:shd w:val="clear" w:color="000000" w:fill="CC99FF"/>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2%</w:t>
            </w:r>
          </w:p>
        </w:tc>
        <w:tc>
          <w:tcPr>
            <w:tcW w:w="992" w:type="dxa"/>
            <w:tcBorders>
              <w:top w:val="nil"/>
              <w:left w:val="nil"/>
              <w:bottom w:val="nil"/>
              <w:right w:val="single" w:sz="4" w:space="0" w:color="auto"/>
            </w:tcBorders>
            <w:shd w:val="clear" w:color="000000" w:fill="EBF1DE"/>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£711,635</w:t>
            </w:r>
          </w:p>
        </w:tc>
        <w:tc>
          <w:tcPr>
            <w:tcW w:w="709" w:type="dxa"/>
            <w:tcBorders>
              <w:top w:val="nil"/>
              <w:left w:val="nil"/>
              <w:bottom w:val="nil"/>
              <w:right w:val="single" w:sz="4" w:space="0" w:color="auto"/>
            </w:tcBorders>
            <w:shd w:val="clear" w:color="000000" w:fill="EBF1DE"/>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7%</w:t>
            </w:r>
          </w:p>
        </w:tc>
        <w:tc>
          <w:tcPr>
            <w:tcW w:w="1700"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color w:val="000000"/>
                <w:sz w:val="12"/>
                <w:szCs w:val="12"/>
              </w:rPr>
            </w:pPr>
          </w:p>
        </w:tc>
      </w:tr>
      <w:tr w:rsidR="00F65F74" w:rsidRPr="00F65F74" w:rsidTr="00567A1F">
        <w:trPr>
          <w:trHeight w:val="81"/>
        </w:trPr>
        <w:tc>
          <w:tcPr>
            <w:tcW w:w="2694" w:type="dxa"/>
            <w:tcBorders>
              <w:top w:val="nil"/>
              <w:left w:val="single" w:sz="4" w:space="0" w:color="auto"/>
              <w:bottom w:val="nil"/>
              <w:right w:val="single" w:sz="4" w:space="0" w:color="auto"/>
            </w:tcBorders>
            <w:shd w:val="clear" w:color="auto" w:fill="auto"/>
            <w:noWrap/>
            <w:vAlign w:val="bottom"/>
            <w:hideMark/>
          </w:tcPr>
          <w:p w:rsidR="00F65F74" w:rsidRPr="00F65F74" w:rsidRDefault="00F65F74">
            <w:pPr>
              <w:rPr>
                <w:rFonts w:ascii="Arial" w:hAnsi="Arial" w:cs="Arial"/>
                <w:sz w:val="12"/>
                <w:szCs w:val="12"/>
              </w:rPr>
            </w:pPr>
            <w:r w:rsidRPr="00F65F74">
              <w:rPr>
                <w:rFonts w:ascii="Arial" w:hAnsi="Arial" w:cs="Arial"/>
                <w:sz w:val="12"/>
                <w:szCs w:val="12"/>
              </w:rPr>
              <w:t>Community/ Firework Events</w:t>
            </w:r>
          </w:p>
        </w:tc>
        <w:tc>
          <w:tcPr>
            <w:tcW w:w="884" w:type="dxa"/>
            <w:tcBorders>
              <w:top w:val="nil"/>
              <w:left w:val="single" w:sz="4" w:space="0" w:color="auto"/>
              <w:bottom w:val="nil"/>
              <w:right w:val="single" w:sz="4" w:space="0" w:color="auto"/>
            </w:tcBorders>
            <w:shd w:val="clear" w:color="000000" w:fill="C4D79B"/>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£28,513</w:t>
            </w:r>
          </w:p>
        </w:tc>
        <w:tc>
          <w:tcPr>
            <w:tcW w:w="637" w:type="dxa"/>
            <w:tcBorders>
              <w:top w:val="nil"/>
              <w:left w:val="nil"/>
              <w:bottom w:val="nil"/>
              <w:right w:val="nil"/>
            </w:tcBorders>
            <w:shd w:val="clear" w:color="000000" w:fill="C4D79B"/>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-8%</w:t>
            </w:r>
          </w:p>
        </w:tc>
        <w:tc>
          <w:tcPr>
            <w:tcW w:w="922" w:type="dxa"/>
            <w:tcBorders>
              <w:top w:val="nil"/>
              <w:left w:val="single" w:sz="4" w:space="0" w:color="auto"/>
              <w:bottom w:val="nil"/>
              <w:right w:val="single" w:sz="4" w:space="0" w:color="auto"/>
            </w:tcBorders>
            <w:shd w:val="clear" w:color="000000" w:fill="FFFF99"/>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£28,979</w:t>
            </w:r>
          </w:p>
        </w:tc>
        <w:tc>
          <w:tcPr>
            <w:tcW w:w="717" w:type="dxa"/>
            <w:tcBorders>
              <w:top w:val="nil"/>
              <w:left w:val="nil"/>
              <w:bottom w:val="nil"/>
              <w:right w:val="single" w:sz="12" w:space="0" w:color="auto"/>
            </w:tcBorders>
            <w:shd w:val="clear" w:color="000000" w:fill="FFFF99"/>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2%</w:t>
            </w:r>
          </w:p>
        </w:tc>
        <w:tc>
          <w:tcPr>
            <w:tcW w:w="884" w:type="dxa"/>
            <w:tcBorders>
              <w:top w:val="nil"/>
              <w:left w:val="nil"/>
              <w:bottom w:val="nil"/>
              <w:right w:val="single" w:sz="4" w:space="0" w:color="auto"/>
            </w:tcBorders>
            <w:shd w:val="clear" w:color="000000" w:fill="FABF8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£30,300</w:t>
            </w:r>
          </w:p>
        </w:tc>
        <w:tc>
          <w:tcPr>
            <w:tcW w:w="775" w:type="dxa"/>
            <w:tcBorders>
              <w:top w:val="nil"/>
              <w:left w:val="nil"/>
              <w:bottom w:val="nil"/>
              <w:right w:val="single" w:sz="12" w:space="0" w:color="auto"/>
            </w:tcBorders>
            <w:shd w:val="clear" w:color="000000" w:fill="FABF8F"/>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5%</w:t>
            </w:r>
          </w:p>
        </w:tc>
        <w:tc>
          <w:tcPr>
            <w:tcW w:w="884" w:type="dxa"/>
            <w:tcBorders>
              <w:top w:val="nil"/>
              <w:left w:val="nil"/>
              <w:bottom w:val="nil"/>
              <w:right w:val="single" w:sz="4" w:space="0" w:color="auto"/>
            </w:tcBorders>
            <w:shd w:val="clear" w:color="000000" w:fill="FF99CC"/>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£32,464</w:t>
            </w:r>
          </w:p>
        </w:tc>
        <w:tc>
          <w:tcPr>
            <w:tcW w:w="675" w:type="dxa"/>
            <w:tcBorders>
              <w:top w:val="nil"/>
              <w:left w:val="nil"/>
              <w:bottom w:val="nil"/>
              <w:right w:val="single" w:sz="4" w:space="0" w:color="auto"/>
            </w:tcBorders>
            <w:shd w:val="clear" w:color="000000" w:fill="FF99CC"/>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7%</w:t>
            </w:r>
          </w:p>
        </w:tc>
        <w:tc>
          <w:tcPr>
            <w:tcW w:w="993" w:type="dxa"/>
            <w:tcBorders>
              <w:top w:val="nil"/>
              <w:left w:val="nil"/>
              <w:bottom w:val="nil"/>
              <w:right w:val="single" w:sz="4" w:space="0" w:color="auto"/>
            </w:tcBorders>
            <w:shd w:val="clear" w:color="000000" w:fill="99CC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£30,631</w:t>
            </w:r>
          </w:p>
        </w:tc>
        <w:tc>
          <w:tcPr>
            <w:tcW w:w="709" w:type="dxa"/>
            <w:tcBorders>
              <w:top w:val="nil"/>
              <w:left w:val="nil"/>
              <w:bottom w:val="nil"/>
              <w:right w:val="single" w:sz="4" w:space="0" w:color="auto"/>
            </w:tcBorders>
            <w:shd w:val="clear" w:color="000000" w:fill="99CCFF"/>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-6%</w:t>
            </w:r>
          </w:p>
        </w:tc>
        <w:tc>
          <w:tcPr>
            <w:tcW w:w="992" w:type="dxa"/>
            <w:tcBorders>
              <w:top w:val="nil"/>
              <w:left w:val="nil"/>
              <w:bottom w:val="nil"/>
              <w:right w:val="single" w:sz="4" w:space="0" w:color="auto"/>
            </w:tcBorders>
            <w:shd w:val="clear" w:color="000000" w:fill="CC99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£31,902</w:t>
            </w:r>
          </w:p>
        </w:tc>
        <w:tc>
          <w:tcPr>
            <w:tcW w:w="709" w:type="dxa"/>
            <w:tcBorders>
              <w:top w:val="nil"/>
              <w:left w:val="nil"/>
              <w:bottom w:val="nil"/>
              <w:right w:val="single" w:sz="4" w:space="0" w:color="auto"/>
            </w:tcBorders>
            <w:shd w:val="clear" w:color="000000" w:fill="CC99FF"/>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4%</w:t>
            </w:r>
          </w:p>
        </w:tc>
        <w:tc>
          <w:tcPr>
            <w:tcW w:w="992" w:type="dxa"/>
            <w:tcBorders>
              <w:top w:val="nil"/>
              <w:left w:val="nil"/>
              <w:bottom w:val="nil"/>
              <w:right w:val="single" w:sz="4" w:space="0" w:color="auto"/>
            </w:tcBorders>
            <w:shd w:val="clear" w:color="000000" w:fill="EBF1DE"/>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£32,076</w:t>
            </w:r>
          </w:p>
        </w:tc>
        <w:tc>
          <w:tcPr>
            <w:tcW w:w="709" w:type="dxa"/>
            <w:tcBorders>
              <w:top w:val="nil"/>
              <w:left w:val="nil"/>
              <w:bottom w:val="nil"/>
              <w:right w:val="single" w:sz="4" w:space="0" w:color="auto"/>
            </w:tcBorders>
            <w:shd w:val="clear" w:color="000000" w:fill="EBF1DE"/>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1%</w:t>
            </w:r>
          </w:p>
        </w:tc>
        <w:tc>
          <w:tcPr>
            <w:tcW w:w="1700"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color w:val="000000"/>
                <w:sz w:val="12"/>
                <w:szCs w:val="12"/>
              </w:rPr>
            </w:pPr>
          </w:p>
        </w:tc>
      </w:tr>
      <w:tr w:rsidR="00F65F74" w:rsidRPr="00F65F74" w:rsidTr="00567A1F">
        <w:trPr>
          <w:trHeight w:val="68"/>
        </w:trPr>
        <w:tc>
          <w:tcPr>
            <w:tcW w:w="2694" w:type="dxa"/>
            <w:tcBorders>
              <w:top w:val="nil"/>
              <w:left w:val="single" w:sz="4" w:space="0" w:color="auto"/>
              <w:bottom w:val="nil"/>
              <w:right w:val="single" w:sz="4" w:space="0" w:color="auto"/>
            </w:tcBorders>
            <w:shd w:val="clear" w:color="auto" w:fill="auto"/>
            <w:noWrap/>
            <w:vAlign w:val="bottom"/>
            <w:hideMark/>
          </w:tcPr>
          <w:p w:rsidR="00F65F74" w:rsidRPr="00F65F74" w:rsidRDefault="00F65F74">
            <w:pPr>
              <w:rPr>
                <w:rFonts w:ascii="Arial" w:hAnsi="Arial" w:cs="Arial"/>
                <w:sz w:val="12"/>
                <w:szCs w:val="12"/>
              </w:rPr>
            </w:pPr>
            <w:r w:rsidRPr="00F65F74">
              <w:rPr>
                <w:rFonts w:ascii="Arial" w:hAnsi="Arial" w:cs="Arial"/>
                <w:sz w:val="12"/>
                <w:szCs w:val="12"/>
              </w:rPr>
              <w:t>Grants and Other Funding</w:t>
            </w:r>
          </w:p>
        </w:tc>
        <w:tc>
          <w:tcPr>
            <w:tcW w:w="884" w:type="dxa"/>
            <w:tcBorders>
              <w:top w:val="nil"/>
              <w:left w:val="single" w:sz="4" w:space="0" w:color="auto"/>
              <w:bottom w:val="nil"/>
              <w:right w:val="single" w:sz="4" w:space="0" w:color="auto"/>
            </w:tcBorders>
            <w:shd w:val="clear" w:color="000000" w:fill="C4D79B"/>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£37,942</w:t>
            </w:r>
          </w:p>
        </w:tc>
        <w:tc>
          <w:tcPr>
            <w:tcW w:w="637" w:type="dxa"/>
            <w:tcBorders>
              <w:top w:val="nil"/>
              <w:left w:val="nil"/>
              <w:bottom w:val="nil"/>
              <w:right w:val="nil"/>
            </w:tcBorders>
            <w:shd w:val="clear" w:color="000000" w:fill="C4D79B"/>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4%</w:t>
            </w:r>
          </w:p>
        </w:tc>
        <w:tc>
          <w:tcPr>
            <w:tcW w:w="922" w:type="dxa"/>
            <w:tcBorders>
              <w:top w:val="nil"/>
              <w:left w:val="single" w:sz="4" w:space="0" w:color="auto"/>
              <w:bottom w:val="nil"/>
              <w:right w:val="single" w:sz="4" w:space="0" w:color="auto"/>
            </w:tcBorders>
            <w:shd w:val="clear" w:color="000000" w:fill="FFFF99"/>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£41,597</w:t>
            </w:r>
          </w:p>
        </w:tc>
        <w:tc>
          <w:tcPr>
            <w:tcW w:w="717" w:type="dxa"/>
            <w:tcBorders>
              <w:top w:val="nil"/>
              <w:left w:val="nil"/>
              <w:bottom w:val="nil"/>
              <w:right w:val="single" w:sz="12" w:space="0" w:color="auto"/>
            </w:tcBorders>
            <w:shd w:val="clear" w:color="000000" w:fill="FFFF99"/>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10%</w:t>
            </w:r>
          </w:p>
        </w:tc>
        <w:tc>
          <w:tcPr>
            <w:tcW w:w="884" w:type="dxa"/>
            <w:tcBorders>
              <w:top w:val="nil"/>
              <w:left w:val="nil"/>
              <w:bottom w:val="nil"/>
              <w:right w:val="single" w:sz="4" w:space="0" w:color="auto"/>
            </w:tcBorders>
            <w:shd w:val="clear" w:color="000000" w:fill="FABF8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£66,627</w:t>
            </w:r>
          </w:p>
        </w:tc>
        <w:tc>
          <w:tcPr>
            <w:tcW w:w="775" w:type="dxa"/>
            <w:tcBorders>
              <w:top w:val="nil"/>
              <w:left w:val="nil"/>
              <w:bottom w:val="nil"/>
              <w:right w:val="single" w:sz="12" w:space="0" w:color="auto"/>
            </w:tcBorders>
            <w:shd w:val="clear" w:color="000000" w:fill="FABF8F"/>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60%</w:t>
            </w:r>
          </w:p>
        </w:tc>
        <w:tc>
          <w:tcPr>
            <w:tcW w:w="884" w:type="dxa"/>
            <w:tcBorders>
              <w:top w:val="nil"/>
              <w:left w:val="nil"/>
              <w:bottom w:val="nil"/>
              <w:right w:val="single" w:sz="4" w:space="0" w:color="auto"/>
            </w:tcBorders>
            <w:shd w:val="clear" w:color="000000" w:fill="FF99CC"/>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£66,627</w:t>
            </w:r>
          </w:p>
        </w:tc>
        <w:tc>
          <w:tcPr>
            <w:tcW w:w="675" w:type="dxa"/>
            <w:tcBorders>
              <w:top w:val="nil"/>
              <w:left w:val="nil"/>
              <w:bottom w:val="nil"/>
              <w:right w:val="single" w:sz="4" w:space="0" w:color="auto"/>
            </w:tcBorders>
            <w:shd w:val="clear" w:color="000000" w:fill="FF99CC"/>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0%</w:t>
            </w:r>
          </w:p>
        </w:tc>
        <w:tc>
          <w:tcPr>
            <w:tcW w:w="993" w:type="dxa"/>
            <w:tcBorders>
              <w:top w:val="nil"/>
              <w:left w:val="nil"/>
              <w:bottom w:val="nil"/>
              <w:right w:val="single" w:sz="4" w:space="0" w:color="auto"/>
            </w:tcBorders>
            <w:shd w:val="clear" w:color="000000" w:fill="99CC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£66,627</w:t>
            </w:r>
          </w:p>
        </w:tc>
        <w:tc>
          <w:tcPr>
            <w:tcW w:w="709" w:type="dxa"/>
            <w:tcBorders>
              <w:top w:val="nil"/>
              <w:left w:val="nil"/>
              <w:bottom w:val="nil"/>
              <w:right w:val="single" w:sz="4" w:space="0" w:color="auto"/>
            </w:tcBorders>
            <w:shd w:val="clear" w:color="000000" w:fill="99CCFF"/>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0%</w:t>
            </w:r>
          </w:p>
        </w:tc>
        <w:tc>
          <w:tcPr>
            <w:tcW w:w="992" w:type="dxa"/>
            <w:tcBorders>
              <w:top w:val="nil"/>
              <w:left w:val="nil"/>
              <w:bottom w:val="nil"/>
              <w:right w:val="single" w:sz="4" w:space="0" w:color="auto"/>
            </w:tcBorders>
            <w:shd w:val="clear" w:color="000000" w:fill="CC99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£66,627</w:t>
            </w:r>
          </w:p>
        </w:tc>
        <w:tc>
          <w:tcPr>
            <w:tcW w:w="709" w:type="dxa"/>
            <w:tcBorders>
              <w:top w:val="nil"/>
              <w:left w:val="nil"/>
              <w:bottom w:val="nil"/>
              <w:right w:val="single" w:sz="4" w:space="0" w:color="auto"/>
            </w:tcBorders>
            <w:shd w:val="clear" w:color="000000" w:fill="CC99FF"/>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0%</w:t>
            </w:r>
          </w:p>
        </w:tc>
        <w:tc>
          <w:tcPr>
            <w:tcW w:w="992" w:type="dxa"/>
            <w:tcBorders>
              <w:top w:val="nil"/>
              <w:left w:val="nil"/>
              <w:bottom w:val="nil"/>
              <w:right w:val="single" w:sz="4" w:space="0" w:color="auto"/>
            </w:tcBorders>
            <w:shd w:val="clear" w:color="000000" w:fill="EBF1DE"/>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£66,627</w:t>
            </w:r>
          </w:p>
        </w:tc>
        <w:tc>
          <w:tcPr>
            <w:tcW w:w="709" w:type="dxa"/>
            <w:tcBorders>
              <w:top w:val="nil"/>
              <w:left w:val="nil"/>
              <w:bottom w:val="nil"/>
              <w:right w:val="single" w:sz="4" w:space="0" w:color="auto"/>
            </w:tcBorders>
            <w:shd w:val="clear" w:color="000000" w:fill="EBF1DE"/>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0%</w:t>
            </w:r>
          </w:p>
        </w:tc>
        <w:tc>
          <w:tcPr>
            <w:tcW w:w="1700"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color w:val="000000"/>
                <w:sz w:val="12"/>
                <w:szCs w:val="12"/>
              </w:rPr>
            </w:pPr>
          </w:p>
        </w:tc>
      </w:tr>
      <w:tr w:rsidR="00F65F74" w:rsidRPr="00F65F74" w:rsidTr="00567A1F">
        <w:trPr>
          <w:trHeight w:val="58"/>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F74" w:rsidRPr="00F65F74" w:rsidRDefault="00F65F74">
            <w:pPr>
              <w:rPr>
                <w:rFonts w:ascii="Arial" w:hAnsi="Arial" w:cs="Arial"/>
                <w:b/>
                <w:bCs/>
                <w:color w:val="0000FF"/>
                <w:sz w:val="12"/>
                <w:szCs w:val="12"/>
              </w:rPr>
            </w:pPr>
            <w:r w:rsidRPr="00F65F74">
              <w:rPr>
                <w:rFonts w:ascii="Arial" w:hAnsi="Arial" w:cs="Arial"/>
                <w:b/>
                <w:bCs/>
                <w:color w:val="0000FF"/>
                <w:sz w:val="12"/>
                <w:szCs w:val="12"/>
              </w:rPr>
              <w:t>Office Expenditure</w:t>
            </w:r>
          </w:p>
        </w:tc>
        <w:tc>
          <w:tcPr>
            <w:tcW w:w="884"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F65F74" w:rsidRPr="00F65F74" w:rsidRDefault="00F65F74">
            <w:pPr>
              <w:jc w:val="center"/>
              <w:rPr>
                <w:rFonts w:ascii="Arial" w:hAnsi="Arial" w:cs="Arial"/>
                <w:b/>
                <w:bCs/>
                <w:color w:val="0000FF"/>
                <w:sz w:val="12"/>
                <w:szCs w:val="12"/>
              </w:rPr>
            </w:pPr>
            <w:r w:rsidRPr="00F65F74">
              <w:rPr>
                <w:rFonts w:ascii="Arial" w:hAnsi="Arial" w:cs="Arial"/>
                <w:b/>
                <w:bCs/>
                <w:color w:val="0000FF"/>
                <w:sz w:val="12"/>
                <w:szCs w:val="12"/>
              </w:rPr>
              <w:t>£599,373</w:t>
            </w:r>
          </w:p>
        </w:tc>
        <w:tc>
          <w:tcPr>
            <w:tcW w:w="637" w:type="dxa"/>
            <w:tcBorders>
              <w:top w:val="single" w:sz="4" w:space="0" w:color="auto"/>
              <w:left w:val="nil"/>
              <w:bottom w:val="single" w:sz="4" w:space="0" w:color="auto"/>
              <w:right w:val="nil"/>
            </w:tcBorders>
            <w:shd w:val="clear" w:color="000000" w:fill="C4D79B"/>
            <w:noWrap/>
            <w:vAlign w:val="bottom"/>
            <w:hideMark/>
          </w:tcPr>
          <w:p w:rsidR="00F65F74" w:rsidRPr="00F65F74" w:rsidRDefault="00F65F74">
            <w:pPr>
              <w:jc w:val="center"/>
              <w:rPr>
                <w:rFonts w:ascii="Arial" w:hAnsi="Arial" w:cs="Arial"/>
                <w:color w:val="0000FF"/>
                <w:sz w:val="12"/>
                <w:szCs w:val="12"/>
              </w:rPr>
            </w:pPr>
            <w:r w:rsidRPr="00F65F74">
              <w:rPr>
                <w:rFonts w:ascii="Arial" w:hAnsi="Arial" w:cs="Arial"/>
                <w:color w:val="0000FF"/>
                <w:sz w:val="12"/>
                <w:szCs w:val="12"/>
              </w:rPr>
              <w:t> </w:t>
            </w:r>
          </w:p>
        </w:tc>
        <w:tc>
          <w:tcPr>
            <w:tcW w:w="92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F65F74" w:rsidRPr="00F65F74" w:rsidRDefault="00F65F74">
            <w:pPr>
              <w:jc w:val="center"/>
              <w:rPr>
                <w:rFonts w:ascii="Arial" w:hAnsi="Arial" w:cs="Arial"/>
                <w:b/>
                <w:bCs/>
                <w:color w:val="0000FF"/>
                <w:sz w:val="12"/>
                <w:szCs w:val="12"/>
              </w:rPr>
            </w:pPr>
            <w:r w:rsidRPr="00F65F74">
              <w:rPr>
                <w:rFonts w:ascii="Arial" w:hAnsi="Arial" w:cs="Arial"/>
                <w:b/>
                <w:bCs/>
                <w:color w:val="0000FF"/>
                <w:sz w:val="12"/>
                <w:szCs w:val="12"/>
              </w:rPr>
              <w:t>£620,625</w:t>
            </w:r>
          </w:p>
        </w:tc>
        <w:tc>
          <w:tcPr>
            <w:tcW w:w="717" w:type="dxa"/>
            <w:tcBorders>
              <w:top w:val="single" w:sz="4" w:space="0" w:color="auto"/>
              <w:left w:val="nil"/>
              <w:bottom w:val="single" w:sz="4" w:space="0" w:color="auto"/>
              <w:right w:val="single" w:sz="12" w:space="0" w:color="auto"/>
            </w:tcBorders>
            <w:shd w:val="clear" w:color="000000" w:fill="FFFF99"/>
            <w:noWrap/>
            <w:vAlign w:val="bottom"/>
            <w:hideMark/>
          </w:tcPr>
          <w:p w:rsidR="00F65F74" w:rsidRPr="00F65F74" w:rsidRDefault="00F65F74">
            <w:pPr>
              <w:jc w:val="center"/>
              <w:rPr>
                <w:rFonts w:ascii="Arial" w:hAnsi="Arial" w:cs="Arial"/>
                <w:color w:val="0000FF"/>
                <w:sz w:val="12"/>
                <w:szCs w:val="12"/>
              </w:rPr>
            </w:pPr>
            <w:r w:rsidRPr="00F65F74">
              <w:rPr>
                <w:rFonts w:ascii="Arial" w:hAnsi="Arial" w:cs="Arial"/>
                <w:color w:val="0000FF"/>
                <w:sz w:val="12"/>
                <w:szCs w:val="12"/>
              </w:rPr>
              <w:t> </w:t>
            </w:r>
          </w:p>
        </w:tc>
        <w:tc>
          <w:tcPr>
            <w:tcW w:w="884" w:type="dxa"/>
            <w:tcBorders>
              <w:top w:val="single" w:sz="4" w:space="0" w:color="auto"/>
              <w:left w:val="nil"/>
              <w:bottom w:val="single" w:sz="4" w:space="0" w:color="auto"/>
              <w:right w:val="single" w:sz="4" w:space="0" w:color="auto"/>
            </w:tcBorders>
            <w:shd w:val="clear" w:color="000000" w:fill="FABF8F"/>
            <w:noWrap/>
            <w:vAlign w:val="bottom"/>
            <w:hideMark/>
          </w:tcPr>
          <w:p w:rsidR="00F65F74" w:rsidRPr="00F65F74" w:rsidRDefault="00F65F74">
            <w:pPr>
              <w:jc w:val="center"/>
              <w:rPr>
                <w:rFonts w:ascii="Arial" w:hAnsi="Arial" w:cs="Arial"/>
                <w:b/>
                <w:bCs/>
                <w:color w:val="0000FF"/>
                <w:sz w:val="12"/>
                <w:szCs w:val="12"/>
              </w:rPr>
            </w:pPr>
            <w:r w:rsidRPr="00F65F74">
              <w:rPr>
                <w:rFonts w:ascii="Arial" w:hAnsi="Arial" w:cs="Arial"/>
                <w:b/>
                <w:bCs/>
                <w:color w:val="0000FF"/>
                <w:sz w:val="12"/>
                <w:szCs w:val="12"/>
              </w:rPr>
              <w:t>£760,641</w:t>
            </w:r>
          </w:p>
        </w:tc>
        <w:tc>
          <w:tcPr>
            <w:tcW w:w="775" w:type="dxa"/>
            <w:tcBorders>
              <w:top w:val="single" w:sz="4" w:space="0" w:color="auto"/>
              <w:left w:val="nil"/>
              <w:bottom w:val="single" w:sz="4" w:space="0" w:color="auto"/>
              <w:right w:val="single" w:sz="12" w:space="0" w:color="auto"/>
            </w:tcBorders>
            <w:shd w:val="clear" w:color="000000" w:fill="FABF8F"/>
            <w:noWrap/>
            <w:vAlign w:val="bottom"/>
            <w:hideMark/>
          </w:tcPr>
          <w:p w:rsidR="00F65F74" w:rsidRPr="00F65F74" w:rsidRDefault="00F65F74">
            <w:pPr>
              <w:jc w:val="center"/>
              <w:rPr>
                <w:rFonts w:ascii="Arial" w:hAnsi="Arial" w:cs="Arial"/>
                <w:color w:val="0000FF"/>
                <w:sz w:val="12"/>
                <w:szCs w:val="12"/>
              </w:rPr>
            </w:pPr>
            <w:r w:rsidRPr="00F65F74">
              <w:rPr>
                <w:rFonts w:ascii="Arial" w:hAnsi="Arial" w:cs="Arial"/>
                <w:color w:val="0000FF"/>
                <w:sz w:val="12"/>
                <w:szCs w:val="12"/>
              </w:rPr>
              <w:t> </w:t>
            </w:r>
          </w:p>
        </w:tc>
        <w:tc>
          <w:tcPr>
            <w:tcW w:w="884" w:type="dxa"/>
            <w:tcBorders>
              <w:top w:val="single" w:sz="4" w:space="0" w:color="auto"/>
              <w:left w:val="nil"/>
              <w:bottom w:val="single" w:sz="4" w:space="0" w:color="auto"/>
              <w:right w:val="single" w:sz="4" w:space="0" w:color="auto"/>
            </w:tcBorders>
            <w:shd w:val="clear" w:color="000000" w:fill="FF99CC"/>
            <w:noWrap/>
            <w:vAlign w:val="bottom"/>
            <w:hideMark/>
          </w:tcPr>
          <w:p w:rsidR="00F65F74" w:rsidRPr="00F65F74" w:rsidRDefault="00F65F74">
            <w:pPr>
              <w:jc w:val="center"/>
              <w:rPr>
                <w:rFonts w:ascii="Arial" w:hAnsi="Arial" w:cs="Arial"/>
                <w:b/>
                <w:bCs/>
                <w:color w:val="0000FF"/>
                <w:sz w:val="12"/>
                <w:szCs w:val="12"/>
              </w:rPr>
            </w:pPr>
            <w:r w:rsidRPr="00F65F74">
              <w:rPr>
                <w:rFonts w:ascii="Arial" w:hAnsi="Arial" w:cs="Arial"/>
                <w:b/>
                <w:bCs/>
                <w:color w:val="0000FF"/>
                <w:sz w:val="12"/>
                <w:szCs w:val="12"/>
              </w:rPr>
              <w:t>£738,893</w:t>
            </w:r>
          </w:p>
        </w:tc>
        <w:tc>
          <w:tcPr>
            <w:tcW w:w="675" w:type="dxa"/>
            <w:tcBorders>
              <w:top w:val="single" w:sz="4" w:space="0" w:color="auto"/>
              <w:left w:val="nil"/>
              <w:bottom w:val="single" w:sz="4" w:space="0" w:color="auto"/>
              <w:right w:val="single" w:sz="4" w:space="0" w:color="auto"/>
            </w:tcBorders>
            <w:shd w:val="clear" w:color="000000" w:fill="FF99CC"/>
            <w:noWrap/>
            <w:vAlign w:val="bottom"/>
            <w:hideMark/>
          </w:tcPr>
          <w:p w:rsidR="00F65F74" w:rsidRPr="00F65F74" w:rsidRDefault="00F65F74">
            <w:pPr>
              <w:jc w:val="center"/>
              <w:rPr>
                <w:rFonts w:ascii="Arial" w:hAnsi="Arial" w:cs="Arial"/>
                <w:color w:val="0000FF"/>
                <w:sz w:val="12"/>
                <w:szCs w:val="12"/>
              </w:rPr>
            </w:pPr>
            <w:r w:rsidRPr="00F65F74">
              <w:rPr>
                <w:rFonts w:ascii="Arial" w:hAnsi="Arial" w:cs="Arial"/>
                <w:color w:val="0000FF"/>
                <w:sz w:val="12"/>
                <w:szCs w:val="12"/>
              </w:rPr>
              <w:t> </w:t>
            </w:r>
          </w:p>
        </w:tc>
        <w:tc>
          <w:tcPr>
            <w:tcW w:w="993" w:type="dxa"/>
            <w:tcBorders>
              <w:top w:val="single" w:sz="4" w:space="0" w:color="auto"/>
              <w:left w:val="nil"/>
              <w:bottom w:val="single" w:sz="4" w:space="0" w:color="auto"/>
              <w:right w:val="single" w:sz="4" w:space="0" w:color="auto"/>
            </w:tcBorders>
            <w:shd w:val="clear" w:color="000000" w:fill="99CCFF"/>
            <w:noWrap/>
            <w:vAlign w:val="bottom"/>
            <w:hideMark/>
          </w:tcPr>
          <w:p w:rsidR="00F65F74" w:rsidRPr="00F65F74" w:rsidRDefault="00F65F74">
            <w:pPr>
              <w:jc w:val="center"/>
              <w:rPr>
                <w:rFonts w:ascii="Arial" w:hAnsi="Arial" w:cs="Arial"/>
                <w:b/>
                <w:bCs/>
                <w:color w:val="0000FF"/>
                <w:sz w:val="12"/>
                <w:szCs w:val="12"/>
              </w:rPr>
            </w:pPr>
            <w:r w:rsidRPr="00F65F74">
              <w:rPr>
                <w:rFonts w:ascii="Arial" w:hAnsi="Arial" w:cs="Arial"/>
                <w:b/>
                <w:bCs/>
                <w:color w:val="0000FF"/>
                <w:sz w:val="12"/>
                <w:szCs w:val="12"/>
              </w:rPr>
              <w:t>£753,699</w:t>
            </w:r>
          </w:p>
        </w:tc>
        <w:tc>
          <w:tcPr>
            <w:tcW w:w="709" w:type="dxa"/>
            <w:tcBorders>
              <w:top w:val="single" w:sz="4" w:space="0" w:color="auto"/>
              <w:left w:val="nil"/>
              <w:bottom w:val="single" w:sz="4" w:space="0" w:color="auto"/>
              <w:right w:val="single" w:sz="4" w:space="0" w:color="auto"/>
            </w:tcBorders>
            <w:shd w:val="clear" w:color="000000" w:fill="99CCFF"/>
            <w:noWrap/>
            <w:vAlign w:val="bottom"/>
            <w:hideMark/>
          </w:tcPr>
          <w:p w:rsidR="00F65F74" w:rsidRPr="00F65F74" w:rsidRDefault="00F65F74">
            <w:pPr>
              <w:jc w:val="center"/>
              <w:rPr>
                <w:rFonts w:ascii="Arial" w:hAnsi="Arial" w:cs="Arial"/>
                <w:color w:val="0000FF"/>
                <w:sz w:val="12"/>
                <w:szCs w:val="12"/>
              </w:rPr>
            </w:pPr>
            <w:r w:rsidRPr="00F65F74">
              <w:rPr>
                <w:rFonts w:ascii="Arial" w:hAnsi="Arial" w:cs="Arial"/>
                <w:color w:val="0000FF"/>
                <w:sz w:val="12"/>
                <w:szCs w:val="12"/>
              </w:rPr>
              <w:t> </w:t>
            </w:r>
          </w:p>
        </w:tc>
        <w:tc>
          <w:tcPr>
            <w:tcW w:w="992" w:type="dxa"/>
            <w:tcBorders>
              <w:top w:val="single" w:sz="4" w:space="0" w:color="auto"/>
              <w:left w:val="nil"/>
              <w:bottom w:val="single" w:sz="4" w:space="0" w:color="auto"/>
              <w:right w:val="single" w:sz="4" w:space="0" w:color="auto"/>
            </w:tcBorders>
            <w:shd w:val="clear" w:color="000000" w:fill="CC99FF"/>
            <w:noWrap/>
            <w:vAlign w:val="bottom"/>
            <w:hideMark/>
          </w:tcPr>
          <w:p w:rsidR="00F65F74" w:rsidRPr="00F65F74" w:rsidRDefault="00F65F74">
            <w:pPr>
              <w:jc w:val="center"/>
              <w:rPr>
                <w:rFonts w:ascii="Arial" w:hAnsi="Arial" w:cs="Arial"/>
                <w:b/>
                <w:bCs/>
                <w:color w:val="0000FF"/>
                <w:sz w:val="12"/>
                <w:szCs w:val="12"/>
              </w:rPr>
            </w:pPr>
            <w:r w:rsidRPr="00F65F74">
              <w:rPr>
                <w:rFonts w:ascii="Arial" w:hAnsi="Arial" w:cs="Arial"/>
                <w:b/>
                <w:bCs/>
                <w:color w:val="0000FF"/>
                <w:sz w:val="12"/>
                <w:szCs w:val="12"/>
              </w:rPr>
              <w:t>£766,408</w:t>
            </w:r>
          </w:p>
        </w:tc>
        <w:tc>
          <w:tcPr>
            <w:tcW w:w="709" w:type="dxa"/>
            <w:tcBorders>
              <w:top w:val="single" w:sz="4" w:space="0" w:color="auto"/>
              <w:left w:val="nil"/>
              <w:bottom w:val="single" w:sz="4" w:space="0" w:color="auto"/>
              <w:right w:val="single" w:sz="4" w:space="0" w:color="auto"/>
            </w:tcBorders>
            <w:shd w:val="clear" w:color="000000" w:fill="CC99FF"/>
            <w:noWrap/>
            <w:vAlign w:val="bottom"/>
            <w:hideMark/>
          </w:tcPr>
          <w:p w:rsidR="00F65F74" w:rsidRPr="00F65F74" w:rsidRDefault="00F65F74">
            <w:pPr>
              <w:jc w:val="center"/>
              <w:rPr>
                <w:rFonts w:ascii="Arial" w:hAnsi="Arial" w:cs="Arial"/>
                <w:color w:val="0000FF"/>
                <w:sz w:val="12"/>
                <w:szCs w:val="12"/>
              </w:rPr>
            </w:pPr>
            <w:r w:rsidRPr="00F65F74">
              <w:rPr>
                <w:rFonts w:ascii="Arial" w:hAnsi="Arial" w:cs="Arial"/>
                <w:color w:val="0000FF"/>
                <w:sz w:val="12"/>
                <w:szCs w:val="12"/>
              </w:rPr>
              <w:t> </w:t>
            </w:r>
          </w:p>
        </w:tc>
        <w:tc>
          <w:tcPr>
            <w:tcW w:w="992" w:type="dxa"/>
            <w:tcBorders>
              <w:top w:val="single" w:sz="4" w:space="0" w:color="auto"/>
              <w:left w:val="nil"/>
              <w:bottom w:val="single" w:sz="4" w:space="0" w:color="auto"/>
              <w:right w:val="single" w:sz="4" w:space="0" w:color="auto"/>
            </w:tcBorders>
            <w:shd w:val="clear" w:color="000000" w:fill="EBF1DE"/>
            <w:noWrap/>
            <w:vAlign w:val="bottom"/>
            <w:hideMark/>
          </w:tcPr>
          <w:p w:rsidR="00F65F74" w:rsidRPr="00F65F74" w:rsidRDefault="00F65F74">
            <w:pPr>
              <w:jc w:val="center"/>
              <w:rPr>
                <w:rFonts w:ascii="Arial" w:hAnsi="Arial" w:cs="Arial"/>
                <w:b/>
                <w:bCs/>
                <w:color w:val="0000FF"/>
                <w:sz w:val="12"/>
                <w:szCs w:val="12"/>
              </w:rPr>
            </w:pPr>
            <w:r w:rsidRPr="00F65F74">
              <w:rPr>
                <w:rFonts w:ascii="Arial" w:hAnsi="Arial" w:cs="Arial"/>
                <w:b/>
                <w:bCs/>
                <w:color w:val="0000FF"/>
                <w:sz w:val="12"/>
                <w:szCs w:val="12"/>
              </w:rPr>
              <w:t>£810,338</w:t>
            </w:r>
          </w:p>
        </w:tc>
        <w:tc>
          <w:tcPr>
            <w:tcW w:w="709" w:type="dxa"/>
            <w:tcBorders>
              <w:top w:val="single" w:sz="4" w:space="0" w:color="auto"/>
              <w:left w:val="nil"/>
              <w:bottom w:val="single" w:sz="4" w:space="0" w:color="auto"/>
              <w:right w:val="single" w:sz="4" w:space="0" w:color="auto"/>
            </w:tcBorders>
            <w:shd w:val="clear" w:color="000000" w:fill="EBF1DE"/>
            <w:noWrap/>
            <w:vAlign w:val="bottom"/>
            <w:hideMark/>
          </w:tcPr>
          <w:p w:rsidR="00F65F74" w:rsidRPr="00F65F74" w:rsidRDefault="00F65F74">
            <w:pPr>
              <w:jc w:val="center"/>
              <w:rPr>
                <w:rFonts w:ascii="Arial" w:hAnsi="Arial" w:cs="Arial"/>
                <w:color w:val="0000FF"/>
                <w:sz w:val="12"/>
                <w:szCs w:val="12"/>
              </w:rPr>
            </w:pPr>
            <w:r w:rsidRPr="00F65F74">
              <w:rPr>
                <w:rFonts w:ascii="Arial" w:hAnsi="Arial" w:cs="Arial"/>
                <w:color w:val="0000FF"/>
                <w:sz w:val="12"/>
                <w:szCs w:val="12"/>
              </w:rPr>
              <w:t> </w:t>
            </w:r>
          </w:p>
        </w:tc>
        <w:tc>
          <w:tcPr>
            <w:tcW w:w="1700"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color w:val="0000FF"/>
                <w:sz w:val="12"/>
                <w:szCs w:val="12"/>
              </w:rPr>
            </w:pPr>
          </w:p>
        </w:tc>
      </w:tr>
      <w:tr w:rsidR="00F65F74" w:rsidRPr="00F65F74" w:rsidTr="00567A1F">
        <w:trPr>
          <w:trHeight w:val="87"/>
        </w:trPr>
        <w:tc>
          <w:tcPr>
            <w:tcW w:w="2694" w:type="dxa"/>
            <w:tcBorders>
              <w:top w:val="nil"/>
              <w:left w:val="single" w:sz="4" w:space="0" w:color="auto"/>
              <w:bottom w:val="nil"/>
              <w:right w:val="single" w:sz="4" w:space="0" w:color="auto"/>
            </w:tcBorders>
            <w:shd w:val="clear" w:color="auto" w:fill="auto"/>
            <w:noWrap/>
            <w:vAlign w:val="bottom"/>
            <w:hideMark/>
          </w:tcPr>
          <w:p w:rsidR="00F65F74" w:rsidRPr="00F65F74" w:rsidRDefault="00F65F74">
            <w:pPr>
              <w:rPr>
                <w:rFonts w:ascii="Arial" w:hAnsi="Arial" w:cs="Arial"/>
                <w:sz w:val="12"/>
                <w:szCs w:val="12"/>
              </w:rPr>
            </w:pPr>
            <w:r w:rsidRPr="00F65F74">
              <w:rPr>
                <w:rFonts w:ascii="Arial" w:hAnsi="Arial" w:cs="Arial"/>
                <w:sz w:val="12"/>
                <w:szCs w:val="12"/>
              </w:rPr>
              <w:t xml:space="preserve">Bradley Stoke Jubilee Centre </w:t>
            </w:r>
          </w:p>
        </w:tc>
        <w:tc>
          <w:tcPr>
            <w:tcW w:w="884" w:type="dxa"/>
            <w:tcBorders>
              <w:top w:val="nil"/>
              <w:left w:val="single" w:sz="4" w:space="0" w:color="auto"/>
              <w:bottom w:val="nil"/>
              <w:right w:val="single" w:sz="4" w:space="0" w:color="auto"/>
            </w:tcBorders>
            <w:shd w:val="clear" w:color="000000" w:fill="C4D79B"/>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£78,992</w:t>
            </w:r>
          </w:p>
        </w:tc>
        <w:tc>
          <w:tcPr>
            <w:tcW w:w="637" w:type="dxa"/>
            <w:tcBorders>
              <w:top w:val="nil"/>
              <w:left w:val="nil"/>
              <w:bottom w:val="nil"/>
              <w:right w:val="nil"/>
            </w:tcBorders>
            <w:shd w:val="clear" w:color="000000" w:fill="C4D79B"/>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-9%</w:t>
            </w:r>
          </w:p>
        </w:tc>
        <w:tc>
          <w:tcPr>
            <w:tcW w:w="922" w:type="dxa"/>
            <w:tcBorders>
              <w:top w:val="nil"/>
              <w:left w:val="single" w:sz="4" w:space="0" w:color="auto"/>
              <w:bottom w:val="nil"/>
              <w:right w:val="single" w:sz="4" w:space="0" w:color="auto"/>
            </w:tcBorders>
            <w:shd w:val="clear" w:color="000000" w:fill="FFFF99"/>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£90,765</w:t>
            </w:r>
          </w:p>
        </w:tc>
        <w:tc>
          <w:tcPr>
            <w:tcW w:w="717" w:type="dxa"/>
            <w:tcBorders>
              <w:top w:val="nil"/>
              <w:left w:val="nil"/>
              <w:bottom w:val="nil"/>
              <w:right w:val="single" w:sz="12" w:space="0" w:color="auto"/>
            </w:tcBorders>
            <w:shd w:val="clear" w:color="000000" w:fill="FFFF99"/>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15%</w:t>
            </w:r>
          </w:p>
        </w:tc>
        <w:tc>
          <w:tcPr>
            <w:tcW w:w="884" w:type="dxa"/>
            <w:tcBorders>
              <w:top w:val="nil"/>
              <w:left w:val="nil"/>
              <w:bottom w:val="nil"/>
              <w:right w:val="single" w:sz="4" w:space="0" w:color="auto"/>
            </w:tcBorders>
            <w:shd w:val="clear" w:color="000000" w:fill="FABF8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£96,064</w:t>
            </w:r>
          </w:p>
        </w:tc>
        <w:tc>
          <w:tcPr>
            <w:tcW w:w="775" w:type="dxa"/>
            <w:tcBorders>
              <w:top w:val="nil"/>
              <w:left w:val="nil"/>
              <w:bottom w:val="nil"/>
              <w:right w:val="single" w:sz="12" w:space="0" w:color="auto"/>
            </w:tcBorders>
            <w:shd w:val="clear" w:color="000000" w:fill="FABF8F"/>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6%</w:t>
            </w:r>
          </w:p>
        </w:tc>
        <w:tc>
          <w:tcPr>
            <w:tcW w:w="884" w:type="dxa"/>
            <w:tcBorders>
              <w:top w:val="nil"/>
              <w:left w:val="nil"/>
              <w:bottom w:val="nil"/>
              <w:right w:val="single" w:sz="4" w:space="0" w:color="auto"/>
            </w:tcBorders>
            <w:shd w:val="clear" w:color="000000" w:fill="FF99CC"/>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£97,062</w:t>
            </w:r>
          </w:p>
        </w:tc>
        <w:tc>
          <w:tcPr>
            <w:tcW w:w="675" w:type="dxa"/>
            <w:tcBorders>
              <w:top w:val="nil"/>
              <w:left w:val="nil"/>
              <w:bottom w:val="nil"/>
              <w:right w:val="single" w:sz="4" w:space="0" w:color="auto"/>
            </w:tcBorders>
            <w:shd w:val="clear" w:color="000000" w:fill="FF99CC"/>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1%</w:t>
            </w:r>
          </w:p>
        </w:tc>
        <w:tc>
          <w:tcPr>
            <w:tcW w:w="993" w:type="dxa"/>
            <w:tcBorders>
              <w:top w:val="nil"/>
              <w:left w:val="nil"/>
              <w:bottom w:val="nil"/>
              <w:right w:val="single" w:sz="4" w:space="0" w:color="auto"/>
            </w:tcBorders>
            <w:shd w:val="clear" w:color="000000" w:fill="99CC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£100,210</w:t>
            </w:r>
          </w:p>
        </w:tc>
        <w:tc>
          <w:tcPr>
            <w:tcW w:w="709" w:type="dxa"/>
            <w:tcBorders>
              <w:top w:val="nil"/>
              <w:left w:val="nil"/>
              <w:bottom w:val="nil"/>
              <w:right w:val="single" w:sz="4" w:space="0" w:color="auto"/>
            </w:tcBorders>
            <w:shd w:val="clear" w:color="000000" w:fill="99CCFF"/>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3%</w:t>
            </w:r>
          </w:p>
        </w:tc>
        <w:tc>
          <w:tcPr>
            <w:tcW w:w="992" w:type="dxa"/>
            <w:tcBorders>
              <w:top w:val="nil"/>
              <w:left w:val="nil"/>
              <w:bottom w:val="nil"/>
              <w:right w:val="single" w:sz="4" w:space="0" w:color="auto"/>
            </w:tcBorders>
            <w:shd w:val="clear" w:color="000000" w:fill="CC99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£102,838</w:t>
            </w:r>
          </w:p>
        </w:tc>
        <w:tc>
          <w:tcPr>
            <w:tcW w:w="709" w:type="dxa"/>
            <w:tcBorders>
              <w:top w:val="nil"/>
              <w:left w:val="nil"/>
              <w:bottom w:val="nil"/>
              <w:right w:val="single" w:sz="4" w:space="0" w:color="auto"/>
            </w:tcBorders>
            <w:shd w:val="clear" w:color="000000" w:fill="CC99FF"/>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3%</w:t>
            </w:r>
          </w:p>
        </w:tc>
        <w:tc>
          <w:tcPr>
            <w:tcW w:w="992" w:type="dxa"/>
            <w:tcBorders>
              <w:top w:val="nil"/>
              <w:left w:val="nil"/>
              <w:bottom w:val="nil"/>
              <w:right w:val="single" w:sz="4" w:space="0" w:color="auto"/>
            </w:tcBorders>
            <w:shd w:val="clear" w:color="000000" w:fill="EBF1DE"/>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£105,549</w:t>
            </w:r>
          </w:p>
        </w:tc>
        <w:tc>
          <w:tcPr>
            <w:tcW w:w="709" w:type="dxa"/>
            <w:tcBorders>
              <w:top w:val="nil"/>
              <w:left w:val="nil"/>
              <w:bottom w:val="nil"/>
              <w:right w:val="single" w:sz="4" w:space="0" w:color="auto"/>
            </w:tcBorders>
            <w:shd w:val="clear" w:color="000000" w:fill="EBF1DE"/>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3%</w:t>
            </w:r>
          </w:p>
        </w:tc>
        <w:tc>
          <w:tcPr>
            <w:tcW w:w="1700"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color w:val="000000"/>
                <w:sz w:val="12"/>
                <w:szCs w:val="12"/>
              </w:rPr>
            </w:pPr>
          </w:p>
        </w:tc>
      </w:tr>
      <w:tr w:rsidR="00F65F74" w:rsidRPr="00F65F74" w:rsidTr="00567A1F">
        <w:trPr>
          <w:trHeight w:val="68"/>
        </w:trPr>
        <w:tc>
          <w:tcPr>
            <w:tcW w:w="2694" w:type="dxa"/>
            <w:tcBorders>
              <w:top w:val="nil"/>
              <w:left w:val="single" w:sz="4" w:space="0" w:color="auto"/>
              <w:bottom w:val="nil"/>
              <w:right w:val="single" w:sz="4" w:space="0" w:color="auto"/>
            </w:tcBorders>
            <w:shd w:val="clear" w:color="auto" w:fill="auto"/>
            <w:noWrap/>
            <w:vAlign w:val="bottom"/>
            <w:hideMark/>
          </w:tcPr>
          <w:p w:rsidR="00F65F74" w:rsidRPr="00F65F74" w:rsidRDefault="00F65F74">
            <w:pPr>
              <w:rPr>
                <w:rFonts w:ascii="Arial" w:hAnsi="Arial" w:cs="Arial"/>
                <w:sz w:val="12"/>
                <w:szCs w:val="12"/>
              </w:rPr>
            </w:pPr>
            <w:r w:rsidRPr="00F65F74">
              <w:rPr>
                <w:rFonts w:ascii="Arial" w:hAnsi="Arial" w:cs="Arial"/>
                <w:sz w:val="12"/>
                <w:szCs w:val="12"/>
              </w:rPr>
              <w:t xml:space="preserve">Brook Way Activity Centre </w:t>
            </w:r>
          </w:p>
        </w:tc>
        <w:tc>
          <w:tcPr>
            <w:tcW w:w="884" w:type="dxa"/>
            <w:tcBorders>
              <w:top w:val="nil"/>
              <w:left w:val="single" w:sz="4" w:space="0" w:color="auto"/>
              <w:bottom w:val="nil"/>
              <w:right w:val="single" w:sz="4" w:space="0" w:color="auto"/>
            </w:tcBorders>
            <w:shd w:val="clear" w:color="000000" w:fill="C4D79B"/>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£32,219</w:t>
            </w:r>
          </w:p>
        </w:tc>
        <w:tc>
          <w:tcPr>
            <w:tcW w:w="637" w:type="dxa"/>
            <w:tcBorders>
              <w:top w:val="nil"/>
              <w:left w:val="nil"/>
              <w:bottom w:val="nil"/>
              <w:right w:val="nil"/>
            </w:tcBorders>
            <w:shd w:val="clear" w:color="000000" w:fill="C4D79B"/>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-14%</w:t>
            </w:r>
          </w:p>
        </w:tc>
        <w:tc>
          <w:tcPr>
            <w:tcW w:w="922" w:type="dxa"/>
            <w:tcBorders>
              <w:top w:val="nil"/>
              <w:left w:val="single" w:sz="4" w:space="0" w:color="auto"/>
              <w:bottom w:val="nil"/>
              <w:right w:val="single" w:sz="4" w:space="0" w:color="auto"/>
            </w:tcBorders>
            <w:shd w:val="clear" w:color="000000" w:fill="FFFF99"/>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£34,079</w:t>
            </w:r>
          </w:p>
        </w:tc>
        <w:tc>
          <w:tcPr>
            <w:tcW w:w="717" w:type="dxa"/>
            <w:tcBorders>
              <w:top w:val="nil"/>
              <w:left w:val="nil"/>
              <w:bottom w:val="nil"/>
              <w:right w:val="single" w:sz="12" w:space="0" w:color="auto"/>
            </w:tcBorders>
            <w:shd w:val="clear" w:color="000000" w:fill="FFFF99"/>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6%</w:t>
            </w:r>
          </w:p>
        </w:tc>
        <w:tc>
          <w:tcPr>
            <w:tcW w:w="884" w:type="dxa"/>
            <w:tcBorders>
              <w:top w:val="nil"/>
              <w:left w:val="nil"/>
              <w:bottom w:val="nil"/>
              <w:right w:val="single" w:sz="4" w:space="0" w:color="auto"/>
            </w:tcBorders>
            <w:shd w:val="clear" w:color="000000" w:fill="FABF8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£43,201</w:t>
            </w:r>
          </w:p>
        </w:tc>
        <w:tc>
          <w:tcPr>
            <w:tcW w:w="775" w:type="dxa"/>
            <w:tcBorders>
              <w:top w:val="nil"/>
              <w:left w:val="nil"/>
              <w:bottom w:val="nil"/>
              <w:right w:val="single" w:sz="12" w:space="0" w:color="auto"/>
            </w:tcBorders>
            <w:shd w:val="clear" w:color="000000" w:fill="FABF8F"/>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27%</w:t>
            </w:r>
          </w:p>
        </w:tc>
        <w:tc>
          <w:tcPr>
            <w:tcW w:w="884" w:type="dxa"/>
            <w:tcBorders>
              <w:top w:val="nil"/>
              <w:left w:val="nil"/>
              <w:bottom w:val="nil"/>
              <w:right w:val="single" w:sz="4" w:space="0" w:color="auto"/>
            </w:tcBorders>
            <w:shd w:val="clear" w:color="000000" w:fill="FF99CC"/>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£46,057</w:t>
            </w:r>
          </w:p>
        </w:tc>
        <w:tc>
          <w:tcPr>
            <w:tcW w:w="675" w:type="dxa"/>
            <w:tcBorders>
              <w:top w:val="nil"/>
              <w:left w:val="nil"/>
              <w:bottom w:val="nil"/>
              <w:right w:val="single" w:sz="4" w:space="0" w:color="auto"/>
            </w:tcBorders>
            <w:shd w:val="clear" w:color="000000" w:fill="FF99CC"/>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7%</w:t>
            </w:r>
          </w:p>
        </w:tc>
        <w:tc>
          <w:tcPr>
            <w:tcW w:w="993" w:type="dxa"/>
            <w:tcBorders>
              <w:top w:val="nil"/>
              <w:left w:val="nil"/>
              <w:bottom w:val="nil"/>
              <w:right w:val="single" w:sz="4" w:space="0" w:color="auto"/>
            </w:tcBorders>
            <w:shd w:val="clear" w:color="000000" w:fill="99CC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£47,302</w:t>
            </w:r>
          </w:p>
        </w:tc>
        <w:tc>
          <w:tcPr>
            <w:tcW w:w="709" w:type="dxa"/>
            <w:tcBorders>
              <w:top w:val="nil"/>
              <w:left w:val="nil"/>
              <w:bottom w:val="nil"/>
              <w:right w:val="single" w:sz="4" w:space="0" w:color="auto"/>
            </w:tcBorders>
            <w:shd w:val="clear" w:color="000000" w:fill="99CCFF"/>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3%</w:t>
            </w:r>
          </w:p>
        </w:tc>
        <w:tc>
          <w:tcPr>
            <w:tcW w:w="992" w:type="dxa"/>
            <w:tcBorders>
              <w:top w:val="nil"/>
              <w:left w:val="nil"/>
              <w:bottom w:val="nil"/>
              <w:right w:val="single" w:sz="4" w:space="0" w:color="auto"/>
            </w:tcBorders>
            <w:shd w:val="clear" w:color="000000" w:fill="CC99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£48,552</w:t>
            </w:r>
          </w:p>
        </w:tc>
        <w:tc>
          <w:tcPr>
            <w:tcW w:w="709" w:type="dxa"/>
            <w:tcBorders>
              <w:top w:val="nil"/>
              <w:left w:val="nil"/>
              <w:bottom w:val="nil"/>
              <w:right w:val="single" w:sz="4" w:space="0" w:color="auto"/>
            </w:tcBorders>
            <w:shd w:val="clear" w:color="000000" w:fill="CC99FF"/>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3%</w:t>
            </w:r>
          </w:p>
        </w:tc>
        <w:tc>
          <w:tcPr>
            <w:tcW w:w="992" w:type="dxa"/>
            <w:tcBorders>
              <w:top w:val="nil"/>
              <w:left w:val="nil"/>
              <w:bottom w:val="nil"/>
              <w:right w:val="single" w:sz="4" w:space="0" w:color="auto"/>
            </w:tcBorders>
            <w:shd w:val="clear" w:color="000000" w:fill="EBF1DE"/>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£49,826</w:t>
            </w:r>
          </w:p>
        </w:tc>
        <w:tc>
          <w:tcPr>
            <w:tcW w:w="709" w:type="dxa"/>
            <w:tcBorders>
              <w:top w:val="nil"/>
              <w:left w:val="nil"/>
              <w:bottom w:val="nil"/>
              <w:right w:val="single" w:sz="4" w:space="0" w:color="auto"/>
            </w:tcBorders>
            <w:shd w:val="clear" w:color="000000" w:fill="EBF1DE"/>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3%</w:t>
            </w:r>
          </w:p>
        </w:tc>
        <w:tc>
          <w:tcPr>
            <w:tcW w:w="1700"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color w:val="000000"/>
                <w:sz w:val="12"/>
                <w:szCs w:val="12"/>
              </w:rPr>
            </w:pPr>
          </w:p>
        </w:tc>
      </w:tr>
      <w:tr w:rsidR="00F65F74" w:rsidRPr="00F65F74" w:rsidTr="00567A1F">
        <w:trPr>
          <w:trHeight w:val="68"/>
        </w:trPr>
        <w:tc>
          <w:tcPr>
            <w:tcW w:w="2694" w:type="dxa"/>
            <w:tcBorders>
              <w:top w:val="nil"/>
              <w:left w:val="single" w:sz="4" w:space="0" w:color="auto"/>
              <w:bottom w:val="nil"/>
              <w:right w:val="single" w:sz="4" w:space="0" w:color="auto"/>
            </w:tcBorders>
            <w:shd w:val="clear" w:color="auto" w:fill="auto"/>
            <w:noWrap/>
            <w:vAlign w:val="bottom"/>
            <w:hideMark/>
          </w:tcPr>
          <w:p w:rsidR="00F65F74" w:rsidRPr="00F65F74" w:rsidRDefault="00F65F74">
            <w:pPr>
              <w:rPr>
                <w:rFonts w:ascii="Arial" w:hAnsi="Arial" w:cs="Arial"/>
                <w:sz w:val="12"/>
                <w:szCs w:val="12"/>
              </w:rPr>
            </w:pPr>
            <w:r w:rsidRPr="00F65F74">
              <w:rPr>
                <w:rFonts w:ascii="Arial" w:hAnsi="Arial" w:cs="Arial"/>
                <w:sz w:val="12"/>
                <w:szCs w:val="12"/>
              </w:rPr>
              <w:t xml:space="preserve">Baileys Court Activity Centre </w:t>
            </w:r>
          </w:p>
        </w:tc>
        <w:tc>
          <w:tcPr>
            <w:tcW w:w="884" w:type="dxa"/>
            <w:tcBorders>
              <w:top w:val="nil"/>
              <w:left w:val="single" w:sz="4" w:space="0" w:color="auto"/>
              <w:bottom w:val="nil"/>
              <w:right w:val="single" w:sz="4" w:space="0" w:color="auto"/>
            </w:tcBorders>
            <w:shd w:val="clear" w:color="000000" w:fill="C4D79B"/>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£77,629</w:t>
            </w:r>
          </w:p>
        </w:tc>
        <w:tc>
          <w:tcPr>
            <w:tcW w:w="637" w:type="dxa"/>
            <w:tcBorders>
              <w:top w:val="nil"/>
              <w:left w:val="nil"/>
              <w:bottom w:val="nil"/>
              <w:right w:val="nil"/>
            </w:tcBorders>
            <w:shd w:val="clear" w:color="000000" w:fill="C4D79B"/>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-7%</w:t>
            </w:r>
          </w:p>
        </w:tc>
        <w:tc>
          <w:tcPr>
            <w:tcW w:w="922" w:type="dxa"/>
            <w:tcBorders>
              <w:top w:val="nil"/>
              <w:left w:val="single" w:sz="4" w:space="0" w:color="auto"/>
              <w:bottom w:val="nil"/>
              <w:right w:val="single" w:sz="4" w:space="0" w:color="auto"/>
            </w:tcBorders>
            <w:shd w:val="clear" w:color="000000" w:fill="FFFF99"/>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£79,078</w:t>
            </w:r>
          </w:p>
        </w:tc>
        <w:tc>
          <w:tcPr>
            <w:tcW w:w="717" w:type="dxa"/>
            <w:tcBorders>
              <w:top w:val="nil"/>
              <w:left w:val="nil"/>
              <w:bottom w:val="nil"/>
              <w:right w:val="single" w:sz="12" w:space="0" w:color="auto"/>
            </w:tcBorders>
            <w:shd w:val="clear" w:color="000000" w:fill="FFFF99"/>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2%</w:t>
            </w:r>
          </w:p>
        </w:tc>
        <w:tc>
          <w:tcPr>
            <w:tcW w:w="884" w:type="dxa"/>
            <w:tcBorders>
              <w:top w:val="nil"/>
              <w:left w:val="nil"/>
              <w:bottom w:val="nil"/>
              <w:right w:val="single" w:sz="4" w:space="0" w:color="auto"/>
            </w:tcBorders>
            <w:shd w:val="clear" w:color="000000" w:fill="FABF8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£91,575</w:t>
            </w:r>
          </w:p>
        </w:tc>
        <w:tc>
          <w:tcPr>
            <w:tcW w:w="775" w:type="dxa"/>
            <w:tcBorders>
              <w:top w:val="nil"/>
              <w:left w:val="nil"/>
              <w:bottom w:val="nil"/>
              <w:right w:val="single" w:sz="12" w:space="0" w:color="auto"/>
            </w:tcBorders>
            <w:shd w:val="clear" w:color="000000" w:fill="FABF8F"/>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16%</w:t>
            </w:r>
          </w:p>
        </w:tc>
        <w:tc>
          <w:tcPr>
            <w:tcW w:w="884" w:type="dxa"/>
            <w:tcBorders>
              <w:top w:val="nil"/>
              <w:left w:val="nil"/>
              <w:bottom w:val="nil"/>
              <w:right w:val="single" w:sz="4" w:space="0" w:color="auto"/>
            </w:tcBorders>
            <w:shd w:val="clear" w:color="000000" w:fill="FF99CC"/>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£91,857</w:t>
            </w:r>
          </w:p>
        </w:tc>
        <w:tc>
          <w:tcPr>
            <w:tcW w:w="675" w:type="dxa"/>
            <w:tcBorders>
              <w:top w:val="nil"/>
              <w:left w:val="nil"/>
              <w:bottom w:val="nil"/>
              <w:right w:val="single" w:sz="4" w:space="0" w:color="auto"/>
            </w:tcBorders>
            <w:shd w:val="clear" w:color="000000" w:fill="FF99CC"/>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0%</w:t>
            </w:r>
          </w:p>
        </w:tc>
        <w:tc>
          <w:tcPr>
            <w:tcW w:w="993" w:type="dxa"/>
            <w:tcBorders>
              <w:top w:val="nil"/>
              <w:left w:val="nil"/>
              <w:bottom w:val="nil"/>
              <w:right w:val="single" w:sz="4" w:space="0" w:color="auto"/>
            </w:tcBorders>
            <w:shd w:val="clear" w:color="000000" w:fill="99CC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£94,797</w:t>
            </w:r>
          </w:p>
        </w:tc>
        <w:tc>
          <w:tcPr>
            <w:tcW w:w="709" w:type="dxa"/>
            <w:tcBorders>
              <w:top w:val="nil"/>
              <w:left w:val="nil"/>
              <w:bottom w:val="nil"/>
              <w:right w:val="single" w:sz="4" w:space="0" w:color="auto"/>
            </w:tcBorders>
            <w:shd w:val="clear" w:color="000000" w:fill="99CCFF"/>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3%</w:t>
            </w:r>
          </w:p>
        </w:tc>
        <w:tc>
          <w:tcPr>
            <w:tcW w:w="992" w:type="dxa"/>
            <w:tcBorders>
              <w:top w:val="nil"/>
              <w:left w:val="nil"/>
              <w:bottom w:val="nil"/>
              <w:right w:val="single" w:sz="4" w:space="0" w:color="auto"/>
            </w:tcBorders>
            <w:shd w:val="clear" w:color="000000" w:fill="CC99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£97,376</w:t>
            </w:r>
          </w:p>
        </w:tc>
        <w:tc>
          <w:tcPr>
            <w:tcW w:w="709" w:type="dxa"/>
            <w:tcBorders>
              <w:top w:val="nil"/>
              <w:left w:val="nil"/>
              <w:bottom w:val="nil"/>
              <w:right w:val="single" w:sz="4" w:space="0" w:color="auto"/>
            </w:tcBorders>
            <w:shd w:val="clear" w:color="000000" w:fill="CC99FF"/>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3%</w:t>
            </w:r>
          </w:p>
        </w:tc>
        <w:tc>
          <w:tcPr>
            <w:tcW w:w="992" w:type="dxa"/>
            <w:tcBorders>
              <w:top w:val="nil"/>
              <w:left w:val="nil"/>
              <w:bottom w:val="nil"/>
              <w:right w:val="single" w:sz="4" w:space="0" w:color="auto"/>
            </w:tcBorders>
            <w:shd w:val="clear" w:color="000000" w:fill="EBF1DE"/>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£100,038</w:t>
            </w:r>
          </w:p>
        </w:tc>
        <w:tc>
          <w:tcPr>
            <w:tcW w:w="709" w:type="dxa"/>
            <w:tcBorders>
              <w:top w:val="nil"/>
              <w:left w:val="nil"/>
              <w:bottom w:val="nil"/>
              <w:right w:val="single" w:sz="4" w:space="0" w:color="auto"/>
            </w:tcBorders>
            <w:shd w:val="clear" w:color="000000" w:fill="EBF1DE"/>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3%</w:t>
            </w:r>
          </w:p>
        </w:tc>
        <w:tc>
          <w:tcPr>
            <w:tcW w:w="1700"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color w:val="000000"/>
                <w:sz w:val="12"/>
                <w:szCs w:val="12"/>
              </w:rPr>
            </w:pPr>
          </w:p>
        </w:tc>
      </w:tr>
      <w:tr w:rsidR="00F65F74" w:rsidRPr="00F65F74" w:rsidTr="00567A1F">
        <w:trPr>
          <w:trHeight w:val="58"/>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F74" w:rsidRPr="00F65F74" w:rsidRDefault="00F65F74">
            <w:pPr>
              <w:rPr>
                <w:rFonts w:ascii="Arial" w:hAnsi="Arial" w:cs="Arial"/>
                <w:b/>
                <w:bCs/>
                <w:color w:val="0000FF"/>
                <w:sz w:val="12"/>
                <w:szCs w:val="12"/>
              </w:rPr>
            </w:pPr>
            <w:r w:rsidRPr="00F65F74">
              <w:rPr>
                <w:rFonts w:ascii="Arial" w:hAnsi="Arial" w:cs="Arial"/>
                <w:b/>
                <w:bCs/>
                <w:color w:val="0000FF"/>
                <w:sz w:val="12"/>
                <w:szCs w:val="12"/>
              </w:rPr>
              <w:t>Activity Centres Running Costs</w:t>
            </w:r>
          </w:p>
        </w:tc>
        <w:tc>
          <w:tcPr>
            <w:tcW w:w="884"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F65F74" w:rsidRPr="00F65F74" w:rsidRDefault="00F65F74">
            <w:pPr>
              <w:jc w:val="center"/>
              <w:rPr>
                <w:rFonts w:ascii="Arial" w:hAnsi="Arial" w:cs="Arial"/>
                <w:b/>
                <w:bCs/>
                <w:color w:val="0000FF"/>
                <w:sz w:val="12"/>
                <w:szCs w:val="12"/>
              </w:rPr>
            </w:pPr>
            <w:r w:rsidRPr="00F65F74">
              <w:rPr>
                <w:rFonts w:ascii="Arial" w:hAnsi="Arial" w:cs="Arial"/>
                <w:b/>
                <w:bCs/>
                <w:color w:val="0000FF"/>
                <w:sz w:val="12"/>
                <w:szCs w:val="12"/>
              </w:rPr>
              <w:t>£188,840</w:t>
            </w:r>
          </w:p>
        </w:tc>
        <w:tc>
          <w:tcPr>
            <w:tcW w:w="637" w:type="dxa"/>
            <w:tcBorders>
              <w:top w:val="single" w:sz="4" w:space="0" w:color="auto"/>
              <w:left w:val="nil"/>
              <w:bottom w:val="single" w:sz="4" w:space="0" w:color="auto"/>
              <w:right w:val="nil"/>
            </w:tcBorders>
            <w:shd w:val="clear" w:color="000000" w:fill="C4D79B"/>
            <w:noWrap/>
            <w:vAlign w:val="bottom"/>
            <w:hideMark/>
          </w:tcPr>
          <w:p w:rsidR="00F65F74" w:rsidRPr="00F65F74" w:rsidRDefault="00F65F74">
            <w:pPr>
              <w:jc w:val="center"/>
              <w:rPr>
                <w:rFonts w:ascii="Arial" w:hAnsi="Arial" w:cs="Arial"/>
                <w:color w:val="0000FF"/>
                <w:sz w:val="12"/>
                <w:szCs w:val="12"/>
              </w:rPr>
            </w:pPr>
            <w:r w:rsidRPr="00F65F74">
              <w:rPr>
                <w:rFonts w:ascii="Arial" w:hAnsi="Arial" w:cs="Arial"/>
                <w:color w:val="0000FF"/>
                <w:sz w:val="12"/>
                <w:szCs w:val="12"/>
              </w:rPr>
              <w:t> </w:t>
            </w:r>
          </w:p>
        </w:tc>
        <w:tc>
          <w:tcPr>
            <w:tcW w:w="92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F65F74" w:rsidRPr="00F65F74" w:rsidRDefault="00F65F74">
            <w:pPr>
              <w:jc w:val="center"/>
              <w:rPr>
                <w:rFonts w:ascii="Arial" w:hAnsi="Arial" w:cs="Arial"/>
                <w:b/>
                <w:bCs/>
                <w:color w:val="0000FF"/>
                <w:sz w:val="12"/>
                <w:szCs w:val="12"/>
              </w:rPr>
            </w:pPr>
            <w:r w:rsidRPr="00F65F74">
              <w:rPr>
                <w:rFonts w:ascii="Arial" w:hAnsi="Arial" w:cs="Arial"/>
                <w:b/>
                <w:bCs/>
                <w:color w:val="0000FF"/>
                <w:sz w:val="12"/>
                <w:szCs w:val="12"/>
              </w:rPr>
              <w:t>£203,922</w:t>
            </w:r>
          </w:p>
        </w:tc>
        <w:tc>
          <w:tcPr>
            <w:tcW w:w="717" w:type="dxa"/>
            <w:tcBorders>
              <w:top w:val="single" w:sz="4" w:space="0" w:color="auto"/>
              <w:left w:val="nil"/>
              <w:bottom w:val="single" w:sz="4" w:space="0" w:color="auto"/>
              <w:right w:val="single" w:sz="12" w:space="0" w:color="auto"/>
            </w:tcBorders>
            <w:shd w:val="clear" w:color="000000" w:fill="FFFF99"/>
            <w:noWrap/>
            <w:vAlign w:val="bottom"/>
            <w:hideMark/>
          </w:tcPr>
          <w:p w:rsidR="00F65F74" w:rsidRPr="00F65F74" w:rsidRDefault="00F65F74">
            <w:pPr>
              <w:jc w:val="center"/>
              <w:rPr>
                <w:rFonts w:ascii="Arial" w:hAnsi="Arial" w:cs="Arial"/>
                <w:color w:val="0000FF"/>
                <w:sz w:val="12"/>
                <w:szCs w:val="12"/>
              </w:rPr>
            </w:pPr>
            <w:r w:rsidRPr="00F65F74">
              <w:rPr>
                <w:rFonts w:ascii="Arial" w:hAnsi="Arial" w:cs="Arial"/>
                <w:color w:val="0000FF"/>
                <w:sz w:val="12"/>
                <w:szCs w:val="12"/>
              </w:rPr>
              <w:t> </w:t>
            </w:r>
          </w:p>
        </w:tc>
        <w:tc>
          <w:tcPr>
            <w:tcW w:w="884" w:type="dxa"/>
            <w:tcBorders>
              <w:top w:val="single" w:sz="4" w:space="0" w:color="auto"/>
              <w:left w:val="nil"/>
              <w:bottom w:val="single" w:sz="4" w:space="0" w:color="auto"/>
              <w:right w:val="single" w:sz="4" w:space="0" w:color="auto"/>
            </w:tcBorders>
            <w:shd w:val="clear" w:color="000000" w:fill="FABF8F"/>
            <w:noWrap/>
            <w:vAlign w:val="bottom"/>
            <w:hideMark/>
          </w:tcPr>
          <w:p w:rsidR="00F65F74" w:rsidRPr="00F65F74" w:rsidRDefault="00F65F74">
            <w:pPr>
              <w:jc w:val="center"/>
              <w:rPr>
                <w:rFonts w:ascii="Arial" w:hAnsi="Arial" w:cs="Arial"/>
                <w:b/>
                <w:bCs/>
                <w:color w:val="0000FF"/>
                <w:sz w:val="12"/>
                <w:szCs w:val="12"/>
              </w:rPr>
            </w:pPr>
            <w:r w:rsidRPr="00F65F74">
              <w:rPr>
                <w:rFonts w:ascii="Arial" w:hAnsi="Arial" w:cs="Arial"/>
                <w:b/>
                <w:bCs/>
                <w:color w:val="0000FF"/>
                <w:sz w:val="12"/>
                <w:szCs w:val="12"/>
              </w:rPr>
              <w:t>£230,840</w:t>
            </w:r>
          </w:p>
        </w:tc>
        <w:tc>
          <w:tcPr>
            <w:tcW w:w="775" w:type="dxa"/>
            <w:tcBorders>
              <w:top w:val="single" w:sz="4" w:space="0" w:color="auto"/>
              <w:left w:val="nil"/>
              <w:bottom w:val="single" w:sz="4" w:space="0" w:color="auto"/>
              <w:right w:val="single" w:sz="12" w:space="0" w:color="auto"/>
            </w:tcBorders>
            <w:shd w:val="clear" w:color="000000" w:fill="FABF8F"/>
            <w:noWrap/>
            <w:vAlign w:val="bottom"/>
            <w:hideMark/>
          </w:tcPr>
          <w:p w:rsidR="00F65F74" w:rsidRPr="00F65F74" w:rsidRDefault="00F65F74">
            <w:pPr>
              <w:jc w:val="center"/>
              <w:rPr>
                <w:rFonts w:ascii="Arial" w:hAnsi="Arial" w:cs="Arial"/>
                <w:color w:val="0000FF"/>
                <w:sz w:val="12"/>
                <w:szCs w:val="12"/>
              </w:rPr>
            </w:pPr>
            <w:r w:rsidRPr="00F65F74">
              <w:rPr>
                <w:rFonts w:ascii="Arial" w:hAnsi="Arial" w:cs="Arial"/>
                <w:color w:val="0000FF"/>
                <w:sz w:val="12"/>
                <w:szCs w:val="12"/>
              </w:rPr>
              <w:t> </w:t>
            </w:r>
          </w:p>
        </w:tc>
        <w:tc>
          <w:tcPr>
            <w:tcW w:w="884" w:type="dxa"/>
            <w:tcBorders>
              <w:top w:val="single" w:sz="4" w:space="0" w:color="auto"/>
              <w:left w:val="nil"/>
              <w:bottom w:val="single" w:sz="4" w:space="0" w:color="auto"/>
              <w:right w:val="single" w:sz="4" w:space="0" w:color="auto"/>
            </w:tcBorders>
            <w:shd w:val="clear" w:color="000000" w:fill="FF99CC"/>
            <w:noWrap/>
            <w:vAlign w:val="bottom"/>
            <w:hideMark/>
          </w:tcPr>
          <w:p w:rsidR="00F65F74" w:rsidRPr="00F65F74" w:rsidRDefault="00F65F74">
            <w:pPr>
              <w:jc w:val="center"/>
              <w:rPr>
                <w:rFonts w:ascii="Arial" w:hAnsi="Arial" w:cs="Arial"/>
                <w:b/>
                <w:bCs/>
                <w:color w:val="0000FF"/>
                <w:sz w:val="12"/>
                <w:szCs w:val="12"/>
              </w:rPr>
            </w:pPr>
            <w:r w:rsidRPr="00F65F74">
              <w:rPr>
                <w:rFonts w:ascii="Arial" w:hAnsi="Arial" w:cs="Arial"/>
                <w:b/>
                <w:bCs/>
                <w:color w:val="0000FF"/>
                <w:sz w:val="12"/>
                <w:szCs w:val="12"/>
              </w:rPr>
              <w:t>£234,977</w:t>
            </w:r>
          </w:p>
        </w:tc>
        <w:tc>
          <w:tcPr>
            <w:tcW w:w="675" w:type="dxa"/>
            <w:tcBorders>
              <w:top w:val="single" w:sz="4" w:space="0" w:color="auto"/>
              <w:left w:val="nil"/>
              <w:bottom w:val="single" w:sz="4" w:space="0" w:color="auto"/>
              <w:right w:val="single" w:sz="4" w:space="0" w:color="auto"/>
            </w:tcBorders>
            <w:shd w:val="clear" w:color="000000" w:fill="FF99CC"/>
            <w:noWrap/>
            <w:vAlign w:val="bottom"/>
            <w:hideMark/>
          </w:tcPr>
          <w:p w:rsidR="00F65F74" w:rsidRPr="00F65F74" w:rsidRDefault="00F65F74">
            <w:pPr>
              <w:jc w:val="center"/>
              <w:rPr>
                <w:rFonts w:ascii="Arial" w:hAnsi="Arial" w:cs="Arial"/>
                <w:color w:val="0000FF"/>
                <w:sz w:val="12"/>
                <w:szCs w:val="12"/>
              </w:rPr>
            </w:pPr>
            <w:r w:rsidRPr="00F65F74">
              <w:rPr>
                <w:rFonts w:ascii="Arial" w:hAnsi="Arial" w:cs="Arial"/>
                <w:color w:val="0000FF"/>
                <w:sz w:val="12"/>
                <w:szCs w:val="12"/>
              </w:rPr>
              <w:t> </w:t>
            </w:r>
          </w:p>
        </w:tc>
        <w:tc>
          <w:tcPr>
            <w:tcW w:w="993" w:type="dxa"/>
            <w:tcBorders>
              <w:top w:val="single" w:sz="4" w:space="0" w:color="auto"/>
              <w:left w:val="nil"/>
              <w:bottom w:val="single" w:sz="4" w:space="0" w:color="auto"/>
              <w:right w:val="single" w:sz="4" w:space="0" w:color="auto"/>
            </w:tcBorders>
            <w:shd w:val="clear" w:color="000000" w:fill="99CCFF"/>
            <w:noWrap/>
            <w:vAlign w:val="bottom"/>
            <w:hideMark/>
          </w:tcPr>
          <w:p w:rsidR="00F65F74" w:rsidRPr="00F65F74" w:rsidRDefault="00F65F74">
            <w:pPr>
              <w:jc w:val="center"/>
              <w:rPr>
                <w:rFonts w:ascii="Arial" w:hAnsi="Arial" w:cs="Arial"/>
                <w:b/>
                <w:bCs/>
                <w:color w:val="0000FF"/>
                <w:sz w:val="12"/>
                <w:szCs w:val="12"/>
              </w:rPr>
            </w:pPr>
            <w:r w:rsidRPr="00F65F74">
              <w:rPr>
                <w:rFonts w:ascii="Arial" w:hAnsi="Arial" w:cs="Arial"/>
                <w:b/>
                <w:bCs/>
                <w:color w:val="0000FF"/>
                <w:sz w:val="12"/>
                <w:szCs w:val="12"/>
              </w:rPr>
              <w:t>£242,309</w:t>
            </w:r>
          </w:p>
        </w:tc>
        <w:tc>
          <w:tcPr>
            <w:tcW w:w="709" w:type="dxa"/>
            <w:tcBorders>
              <w:top w:val="single" w:sz="4" w:space="0" w:color="auto"/>
              <w:left w:val="nil"/>
              <w:bottom w:val="single" w:sz="4" w:space="0" w:color="auto"/>
              <w:right w:val="single" w:sz="4" w:space="0" w:color="auto"/>
            </w:tcBorders>
            <w:shd w:val="clear" w:color="000000" w:fill="99CCFF"/>
            <w:noWrap/>
            <w:vAlign w:val="bottom"/>
            <w:hideMark/>
          </w:tcPr>
          <w:p w:rsidR="00F65F74" w:rsidRPr="00F65F74" w:rsidRDefault="00F65F74">
            <w:pPr>
              <w:jc w:val="center"/>
              <w:rPr>
                <w:rFonts w:ascii="Arial" w:hAnsi="Arial" w:cs="Arial"/>
                <w:color w:val="0000FF"/>
                <w:sz w:val="12"/>
                <w:szCs w:val="12"/>
              </w:rPr>
            </w:pPr>
            <w:r w:rsidRPr="00F65F74">
              <w:rPr>
                <w:rFonts w:ascii="Arial" w:hAnsi="Arial" w:cs="Arial"/>
                <w:color w:val="0000FF"/>
                <w:sz w:val="12"/>
                <w:szCs w:val="12"/>
              </w:rPr>
              <w:t> </w:t>
            </w:r>
          </w:p>
        </w:tc>
        <w:tc>
          <w:tcPr>
            <w:tcW w:w="992" w:type="dxa"/>
            <w:tcBorders>
              <w:top w:val="single" w:sz="4" w:space="0" w:color="auto"/>
              <w:left w:val="nil"/>
              <w:bottom w:val="single" w:sz="4" w:space="0" w:color="auto"/>
              <w:right w:val="single" w:sz="4" w:space="0" w:color="auto"/>
            </w:tcBorders>
            <w:shd w:val="clear" w:color="000000" w:fill="CC99FF"/>
            <w:noWrap/>
            <w:vAlign w:val="bottom"/>
            <w:hideMark/>
          </w:tcPr>
          <w:p w:rsidR="00F65F74" w:rsidRPr="00F65F74" w:rsidRDefault="00F65F74">
            <w:pPr>
              <w:jc w:val="center"/>
              <w:rPr>
                <w:rFonts w:ascii="Arial" w:hAnsi="Arial" w:cs="Arial"/>
                <w:b/>
                <w:bCs/>
                <w:color w:val="0000FF"/>
                <w:sz w:val="12"/>
                <w:szCs w:val="12"/>
              </w:rPr>
            </w:pPr>
            <w:r w:rsidRPr="00F65F74">
              <w:rPr>
                <w:rFonts w:ascii="Arial" w:hAnsi="Arial" w:cs="Arial"/>
                <w:b/>
                <w:bCs/>
                <w:color w:val="0000FF"/>
                <w:sz w:val="12"/>
                <w:szCs w:val="12"/>
              </w:rPr>
              <w:t>£248,766</w:t>
            </w:r>
          </w:p>
        </w:tc>
        <w:tc>
          <w:tcPr>
            <w:tcW w:w="709" w:type="dxa"/>
            <w:tcBorders>
              <w:top w:val="single" w:sz="4" w:space="0" w:color="auto"/>
              <w:left w:val="nil"/>
              <w:bottom w:val="single" w:sz="4" w:space="0" w:color="auto"/>
              <w:right w:val="single" w:sz="4" w:space="0" w:color="auto"/>
            </w:tcBorders>
            <w:shd w:val="clear" w:color="000000" w:fill="CC99FF"/>
            <w:noWrap/>
            <w:vAlign w:val="bottom"/>
            <w:hideMark/>
          </w:tcPr>
          <w:p w:rsidR="00F65F74" w:rsidRPr="00F65F74" w:rsidRDefault="00F65F74">
            <w:pPr>
              <w:jc w:val="center"/>
              <w:rPr>
                <w:rFonts w:ascii="Arial" w:hAnsi="Arial" w:cs="Arial"/>
                <w:color w:val="0000FF"/>
                <w:sz w:val="12"/>
                <w:szCs w:val="12"/>
              </w:rPr>
            </w:pPr>
            <w:r w:rsidRPr="00F65F74">
              <w:rPr>
                <w:rFonts w:ascii="Arial" w:hAnsi="Arial" w:cs="Arial"/>
                <w:color w:val="0000FF"/>
                <w:sz w:val="12"/>
                <w:szCs w:val="12"/>
              </w:rPr>
              <w:t> </w:t>
            </w:r>
          </w:p>
        </w:tc>
        <w:tc>
          <w:tcPr>
            <w:tcW w:w="992" w:type="dxa"/>
            <w:tcBorders>
              <w:top w:val="single" w:sz="4" w:space="0" w:color="auto"/>
              <w:left w:val="nil"/>
              <w:bottom w:val="single" w:sz="4" w:space="0" w:color="auto"/>
              <w:right w:val="single" w:sz="4" w:space="0" w:color="auto"/>
            </w:tcBorders>
            <w:shd w:val="clear" w:color="000000" w:fill="EBF1DE"/>
            <w:noWrap/>
            <w:vAlign w:val="bottom"/>
            <w:hideMark/>
          </w:tcPr>
          <w:p w:rsidR="00F65F74" w:rsidRPr="00F65F74" w:rsidRDefault="00F65F74">
            <w:pPr>
              <w:jc w:val="center"/>
              <w:rPr>
                <w:rFonts w:ascii="Arial" w:hAnsi="Arial" w:cs="Arial"/>
                <w:b/>
                <w:bCs/>
                <w:color w:val="0000FF"/>
                <w:sz w:val="12"/>
                <w:szCs w:val="12"/>
              </w:rPr>
            </w:pPr>
            <w:r w:rsidRPr="00F65F74">
              <w:rPr>
                <w:rFonts w:ascii="Arial" w:hAnsi="Arial" w:cs="Arial"/>
                <w:b/>
                <w:bCs/>
                <w:color w:val="0000FF"/>
                <w:sz w:val="12"/>
                <w:szCs w:val="12"/>
              </w:rPr>
              <w:t>£255,413</w:t>
            </w:r>
          </w:p>
        </w:tc>
        <w:tc>
          <w:tcPr>
            <w:tcW w:w="709" w:type="dxa"/>
            <w:tcBorders>
              <w:top w:val="single" w:sz="4" w:space="0" w:color="auto"/>
              <w:left w:val="nil"/>
              <w:bottom w:val="single" w:sz="4" w:space="0" w:color="auto"/>
              <w:right w:val="single" w:sz="4" w:space="0" w:color="auto"/>
            </w:tcBorders>
            <w:shd w:val="clear" w:color="000000" w:fill="EBF1DE"/>
            <w:noWrap/>
            <w:vAlign w:val="bottom"/>
            <w:hideMark/>
          </w:tcPr>
          <w:p w:rsidR="00F65F74" w:rsidRPr="00F65F74" w:rsidRDefault="00F65F74">
            <w:pPr>
              <w:jc w:val="center"/>
              <w:rPr>
                <w:rFonts w:ascii="Arial" w:hAnsi="Arial" w:cs="Arial"/>
                <w:color w:val="0000FF"/>
                <w:sz w:val="12"/>
                <w:szCs w:val="12"/>
              </w:rPr>
            </w:pPr>
            <w:r w:rsidRPr="00F65F74">
              <w:rPr>
                <w:rFonts w:ascii="Arial" w:hAnsi="Arial" w:cs="Arial"/>
                <w:color w:val="0000FF"/>
                <w:sz w:val="12"/>
                <w:szCs w:val="12"/>
              </w:rPr>
              <w:t> </w:t>
            </w:r>
          </w:p>
        </w:tc>
        <w:tc>
          <w:tcPr>
            <w:tcW w:w="1700"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color w:val="0000FF"/>
                <w:sz w:val="12"/>
                <w:szCs w:val="12"/>
              </w:rPr>
            </w:pPr>
          </w:p>
        </w:tc>
      </w:tr>
      <w:tr w:rsidR="00F65F74" w:rsidRPr="00F65F74" w:rsidTr="00567A1F">
        <w:trPr>
          <w:trHeight w:val="58"/>
        </w:trPr>
        <w:tc>
          <w:tcPr>
            <w:tcW w:w="2694" w:type="dxa"/>
            <w:tcBorders>
              <w:top w:val="nil"/>
              <w:left w:val="single" w:sz="4" w:space="0" w:color="auto"/>
              <w:bottom w:val="nil"/>
              <w:right w:val="single" w:sz="4" w:space="0" w:color="auto"/>
            </w:tcBorders>
            <w:shd w:val="clear" w:color="auto" w:fill="auto"/>
            <w:noWrap/>
            <w:vAlign w:val="bottom"/>
            <w:hideMark/>
          </w:tcPr>
          <w:p w:rsidR="00F65F74" w:rsidRPr="00F65F74" w:rsidRDefault="00F65F74">
            <w:pPr>
              <w:rPr>
                <w:rFonts w:ascii="Arial" w:hAnsi="Arial" w:cs="Arial"/>
                <w:sz w:val="12"/>
                <w:szCs w:val="12"/>
              </w:rPr>
            </w:pPr>
            <w:r w:rsidRPr="00F65F74">
              <w:rPr>
                <w:rFonts w:ascii="Arial" w:hAnsi="Arial" w:cs="Arial"/>
                <w:sz w:val="12"/>
                <w:szCs w:val="12"/>
              </w:rPr>
              <w:t xml:space="preserve">New Assets </w:t>
            </w:r>
          </w:p>
        </w:tc>
        <w:tc>
          <w:tcPr>
            <w:tcW w:w="884" w:type="dxa"/>
            <w:tcBorders>
              <w:top w:val="nil"/>
              <w:left w:val="single" w:sz="4" w:space="0" w:color="auto"/>
              <w:bottom w:val="nil"/>
              <w:right w:val="single" w:sz="4" w:space="0" w:color="auto"/>
            </w:tcBorders>
            <w:shd w:val="clear" w:color="000000" w:fill="C4D79B"/>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£33,528</w:t>
            </w:r>
          </w:p>
        </w:tc>
        <w:tc>
          <w:tcPr>
            <w:tcW w:w="637" w:type="dxa"/>
            <w:tcBorders>
              <w:top w:val="nil"/>
              <w:left w:val="nil"/>
              <w:bottom w:val="nil"/>
              <w:right w:val="nil"/>
            </w:tcBorders>
            <w:shd w:val="clear" w:color="000000" w:fill="C4D79B"/>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48%</w:t>
            </w:r>
          </w:p>
        </w:tc>
        <w:tc>
          <w:tcPr>
            <w:tcW w:w="922" w:type="dxa"/>
            <w:tcBorders>
              <w:top w:val="nil"/>
              <w:left w:val="single" w:sz="4" w:space="0" w:color="auto"/>
              <w:bottom w:val="nil"/>
              <w:right w:val="single" w:sz="4" w:space="0" w:color="auto"/>
            </w:tcBorders>
            <w:shd w:val="clear" w:color="000000" w:fill="FFFF99"/>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£12,802</w:t>
            </w:r>
          </w:p>
        </w:tc>
        <w:tc>
          <w:tcPr>
            <w:tcW w:w="717" w:type="dxa"/>
            <w:tcBorders>
              <w:top w:val="nil"/>
              <w:left w:val="nil"/>
              <w:bottom w:val="nil"/>
              <w:right w:val="single" w:sz="12" w:space="0" w:color="auto"/>
            </w:tcBorders>
            <w:shd w:val="clear" w:color="000000" w:fill="FFFF99"/>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-62%</w:t>
            </w:r>
          </w:p>
        </w:tc>
        <w:tc>
          <w:tcPr>
            <w:tcW w:w="884" w:type="dxa"/>
            <w:tcBorders>
              <w:top w:val="nil"/>
              <w:left w:val="nil"/>
              <w:bottom w:val="nil"/>
              <w:right w:val="single" w:sz="4" w:space="0" w:color="auto"/>
            </w:tcBorders>
            <w:shd w:val="clear" w:color="000000" w:fill="FABF8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£25,950</w:t>
            </w:r>
          </w:p>
        </w:tc>
        <w:tc>
          <w:tcPr>
            <w:tcW w:w="775" w:type="dxa"/>
            <w:tcBorders>
              <w:top w:val="nil"/>
              <w:left w:val="nil"/>
              <w:bottom w:val="nil"/>
              <w:right w:val="single" w:sz="12" w:space="0" w:color="auto"/>
            </w:tcBorders>
            <w:shd w:val="clear" w:color="000000" w:fill="FABF8F"/>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103%</w:t>
            </w:r>
          </w:p>
        </w:tc>
        <w:tc>
          <w:tcPr>
            <w:tcW w:w="884" w:type="dxa"/>
            <w:tcBorders>
              <w:top w:val="nil"/>
              <w:left w:val="nil"/>
              <w:bottom w:val="nil"/>
              <w:right w:val="single" w:sz="4" w:space="0" w:color="auto"/>
            </w:tcBorders>
            <w:shd w:val="clear" w:color="000000" w:fill="FF99CC"/>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£18,900</w:t>
            </w:r>
          </w:p>
        </w:tc>
        <w:tc>
          <w:tcPr>
            <w:tcW w:w="675" w:type="dxa"/>
            <w:tcBorders>
              <w:top w:val="nil"/>
              <w:left w:val="nil"/>
              <w:bottom w:val="nil"/>
              <w:right w:val="single" w:sz="4" w:space="0" w:color="auto"/>
            </w:tcBorders>
            <w:shd w:val="clear" w:color="000000" w:fill="FF99CC"/>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-27%</w:t>
            </w:r>
          </w:p>
        </w:tc>
        <w:tc>
          <w:tcPr>
            <w:tcW w:w="993" w:type="dxa"/>
            <w:tcBorders>
              <w:top w:val="nil"/>
              <w:left w:val="nil"/>
              <w:bottom w:val="nil"/>
              <w:right w:val="single" w:sz="4" w:space="0" w:color="auto"/>
            </w:tcBorders>
            <w:shd w:val="clear" w:color="000000" w:fill="99CC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£18,900</w:t>
            </w:r>
          </w:p>
        </w:tc>
        <w:tc>
          <w:tcPr>
            <w:tcW w:w="709" w:type="dxa"/>
            <w:tcBorders>
              <w:top w:val="nil"/>
              <w:left w:val="nil"/>
              <w:bottom w:val="nil"/>
              <w:right w:val="single" w:sz="4" w:space="0" w:color="auto"/>
            </w:tcBorders>
            <w:shd w:val="clear" w:color="000000" w:fill="99CCFF"/>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0%</w:t>
            </w:r>
          </w:p>
        </w:tc>
        <w:tc>
          <w:tcPr>
            <w:tcW w:w="992" w:type="dxa"/>
            <w:tcBorders>
              <w:top w:val="nil"/>
              <w:left w:val="nil"/>
              <w:bottom w:val="nil"/>
              <w:right w:val="single" w:sz="4" w:space="0" w:color="auto"/>
            </w:tcBorders>
            <w:shd w:val="clear" w:color="000000" w:fill="CC99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£18,900</w:t>
            </w:r>
          </w:p>
        </w:tc>
        <w:tc>
          <w:tcPr>
            <w:tcW w:w="709" w:type="dxa"/>
            <w:tcBorders>
              <w:top w:val="nil"/>
              <w:left w:val="nil"/>
              <w:bottom w:val="nil"/>
              <w:right w:val="single" w:sz="4" w:space="0" w:color="auto"/>
            </w:tcBorders>
            <w:shd w:val="clear" w:color="000000" w:fill="CC99FF"/>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0%</w:t>
            </w:r>
          </w:p>
        </w:tc>
        <w:tc>
          <w:tcPr>
            <w:tcW w:w="992" w:type="dxa"/>
            <w:tcBorders>
              <w:top w:val="nil"/>
              <w:left w:val="nil"/>
              <w:bottom w:val="nil"/>
              <w:right w:val="single" w:sz="4" w:space="0" w:color="auto"/>
            </w:tcBorders>
            <w:shd w:val="clear" w:color="000000" w:fill="EBF1DE"/>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£18,900</w:t>
            </w:r>
          </w:p>
        </w:tc>
        <w:tc>
          <w:tcPr>
            <w:tcW w:w="709" w:type="dxa"/>
            <w:tcBorders>
              <w:top w:val="nil"/>
              <w:left w:val="nil"/>
              <w:bottom w:val="nil"/>
              <w:right w:val="single" w:sz="4" w:space="0" w:color="auto"/>
            </w:tcBorders>
            <w:shd w:val="clear" w:color="000000" w:fill="EBF1DE"/>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0%</w:t>
            </w:r>
          </w:p>
        </w:tc>
        <w:tc>
          <w:tcPr>
            <w:tcW w:w="1700"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color w:val="000000"/>
                <w:sz w:val="12"/>
                <w:szCs w:val="12"/>
              </w:rPr>
            </w:pPr>
          </w:p>
        </w:tc>
      </w:tr>
      <w:tr w:rsidR="00F65F74" w:rsidRPr="00F65F74" w:rsidTr="00567A1F">
        <w:trPr>
          <w:trHeight w:val="68"/>
        </w:trPr>
        <w:tc>
          <w:tcPr>
            <w:tcW w:w="2694" w:type="dxa"/>
            <w:tcBorders>
              <w:top w:val="nil"/>
              <w:left w:val="single" w:sz="4" w:space="0" w:color="auto"/>
              <w:bottom w:val="nil"/>
              <w:right w:val="single" w:sz="4" w:space="0" w:color="auto"/>
            </w:tcBorders>
            <w:shd w:val="clear" w:color="auto" w:fill="auto"/>
            <w:noWrap/>
            <w:vAlign w:val="bottom"/>
            <w:hideMark/>
          </w:tcPr>
          <w:p w:rsidR="00F65F74" w:rsidRPr="00F65F74" w:rsidRDefault="00F65F74">
            <w:pPr>
              <w:rPr>
                <w:rFonts w:ascii="Arial" w:hAnsi="Arial" w:cs="Arial"/>
                <w:sz w:val="12"/>
                <w:szCs w:val="12"/>
              </w:rPr>
            </w:pPr>
            <w:r w:rsidRPr="00F65F74">
              <w:rPr>
                <w:rFonts w:ascii="Arial" w:hAnsi="Arial" w:cs="Arial"/>
                <w:sz w:val="12"/>
                <w:szCs w:val="12"/>
              </w:rPr>
              <w:t>Planned Projects</w:t>
            </w:r>
          </w:p>
        </w:tc>
        <w:tc>
          <w:tcPr>
            <w:tcW w:w="884" w:type="dxa"/>
            <w:tcBorders>
              <w:top w:val="nil"/>
              <w:left w:val="single" w:sz="4" w:space="0" w:color="auto"/>
              <w:bottom w:val="nil"/>
              <w:right w:val="single" w:sz="4" w:space="0" w:color="auto"/>
            </w:tcBorders>
            <w:shd w:val="clear" w:color="000000" w:fill="C4D79B"/>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£30,782</w:t>
            </w:r>
          </w:p>
        </w:tc>
        <w:tc>
          <w:tcPr>
            <w:tcW w:w="637" w:type="dxa"/>
            <w:tcBorders>
              <w:top w:val="nil"/>
              <w:left w:val="nil"/>
              <w:bottom w:val="nil"/>
              <w:right w:val="nil"/>
            </w:tcBorders>
            <w:shd w:val="clear" w:color="000000" w:fill="C4D79B"/>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0%</w:t>
            </w:r>
          </w:p>
        </w:tc>
        <w:tc>
          <w:tcPr>
            <w:tcW w:w="922" w:type="dxa"/>
            <w:tcBorders>
              <w:top w:val="nil"/>
              <w:left w:val="single" w:sz="4" w:space="0" w:color="auto"/>
              <w:bottom w:val="nil"/>
              <w:right w:val="single" w:sz="4" w:space="0" w:color="auto"/>
            </w:tcBorders>
            <w:shd w:val="clear" w:color="000000" w:fill="FFFF99"/>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£278,880</w:t>
            </w:r>
          </w:p>
        </w:tc>
        <w:tc>
          <w:tcPr>
            <w:tcW w:w="717" w:type="dxa"/>
            <w:tcBorders>
              <w:top w:val="nil"/>
              <w:left w:val="nil"/>
              <w:bottom w:val="nil"/>
              <w:right w:val="single" w:sz="12" w:space="0" w:color="auto"/>
            </w:tcBorders>
            <w:shd w:val="clear" w:color="000000" w:fill="FFFF99"/>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0%</w:t>
            </w:r>
          </w:p>
        </w:tc>
        <w:tc>
          <w:tcPr>
            <w:tcW w:w="884" w:type="dxa"/>
            <w:tcBorders>
              <w:top w:val="nil"/>
              <w:left w:val="nil"/>
              <w:bottom w:val="nil"/>
              <w:right w:val="single" w:sz="4" w:space="0" w:color="auto"/>
            </w:tcBorders>
            <w:shd w:val="clear" w:color="000000" w:fill="FABF8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£6,938</w:t>
            </w:r>
          </w:p>
        </w:tc>
        <w:tc>
          <w:tcPr>
            <w:tcW w:w="775" w:type="dxa"/>
            <w:tcBorders>
              <w:top w:val="nil"/>
              <w:left w:val="nil"/>
              <w:bottom w:val="nil"/>
              <w:right w:val="single" w:sz="12" w:space="0" w:color="auto"/>
            </w:tcBorders>
            <w:shd w:val="clear" w:color="000000" w:fill="FABF8F"/>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0%</w:t>
            </w:r>
          </w:p>
        </w:tc>
        <w:tc>
          <w:tcPr>
            <w:tcW w:w="884" w:type="dxa"/>
            <w:tcBorders>
              <w:top w:val="nil"/>
              <w:left w:val="nil"/>
              <w:bottom w:val="nil"/>
              <w:right w:val="single" w:sz="4" w:space="0" w:color="auto"/>
            </w:tcBorders>
            <w:shd w:val="clear" w:color="000000" w:fill="FF99CC"/>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£0</w:t>
            </w:r>
          </w:p>
        </w:tc>
        <w:tc>
          <w:tcPr>
            <w:tcW w:w="675" w:type="dxa"/>
            <w:tcBorders>
              <w:top w:val="nil"/>
              <w:left w:val="nil"/>
              <w:bottom w:val="nil"/>
              <w:right w:val="single" w:sz="4" w:space="0" w:color="auto"/>
            </w:tcBorders>
            <w:shd w:val="clear" w:color="000000" w:fill="FF99CC"/>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0%</w:t>
            </w:r>
          </w:p>
        </w:tc>
        <w:tc>
          <w:tcPr>
            <w:tcW w:w="993" w:type="dxa"/>
            <w:tcBorders>
              <w:top w:val="nil"/>
              <w:left w:val="nil"/>
              <w:bottom w:val="nil"/>
              <w:right w:val="single" w:sz="4" w:space="0" w:color="auto"/>
            </w:tcBorders>
            <w:shd w:val="clear" w:color="000000" w:fill="99CC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£0</w:t>
            </w:r>
          </w:p>
        </w:tc>
        <w:tc>
          <w:tcPr>
            <w:tcW w:w="709" w:type="dxa"/>
            <w:tcBorders>
              <w:top w:val="nil"/>
              <w:left w:val="nil"/>
              <w:bottom w:val="nil"/>
              <w:right w:val="single" w:sz="4" w:space="0" w:color="auto"/>
            </w:tcBorders>
            <w:shd w:val="clear" w:color="000000" w:fill="99CCFF"/>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0%</w:t>
            </w:r>
          </w:p>
        </w:tc>
        <w:tc>
          <w:tcPr>
            <w:tcW w:w="992" w:type="dxa"/>
            <w:tcBorders>
              <w:top w:val="nil"/>
              <w:left w:val="nil"/>
              <w:bottom w:val="nil"/>
              <w:right w:val="single" w:sz="4" w:space="0" w:color="auto"/>
            </w:tcBorders>
            <w:shd w:val="clear" w:color="000000" w:fill="CC99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£0</w:t>
            </w:r>
          </w:p>
        </w:tc>
        <w:tc>
          <w:tcPr>
            <w:tcW w:w="709" w:type="dxa"/>
            <w:tcBorders>
              <w:top w:val="nil"/>
              <w:left w:val="nil"/>
              <w:bottom w:val="nil"/>
              <w:right w:val="single" w:sz="4" w:space="0" w:color="auto"/>
            </w:tcBorders>
            <w:shd w:val="clear" w:color="000000" w:fill="CC99FF"/>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0%</w:t>
            </w:r>
          </w:p>
        </w:tc>
        <w:tc>
          <w:tcPr>
            <w:tcW w:w="992" w:type="dxa"/>
            <w:tcBorders>
              <w:top w:val="nil"/>
              <w:left w:val="nil"/>
              <w:bottom w:val="nil"/>
              <w:right w:val="single" w:sz="4" w:space="0" w:color="auto"/>
            </w:tcBorders>
            <w:shd w:val="clear" w:color="000000" w:fill="EBF1DE"/>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£0</w:t>
            </w:r>
          </w:p>
        </w:tc>
        <w:tc>
          <w:tcPr>
            <w:tcW w:w="709" w:type="dxa"/>
            <w:tcBorders>
              <w:top w:val="nil"/>
              <w:left w:val="nil"/>
              <w:bottom w:val="nil"/>
              <w:right w:val="single" w:sz="4" w:space="0" w:color="auto"/>
            </w:tcBorders>
            <w:shd w:val="clear" w:color="000000" w:fill="EBF1DE"/>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0%</w:t>
            </w:r>
          </w:p>
        </w:tc>
        <w:tc>
          <w:tcPr>
            <w:tcW w:w="1700"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color w:val="000000"/>
                <w:sz w:val="12"/>
                <w:szCs w:val="12"/>
              </w:rPr>
            </w:pPr>
          </w:p>
        </w:tc>
      </w:tr>
      <w:tr w:rsidR="00F65F74" w:rsidRPr="00F65F74" w:rsidTr="00567A1F">
        <w:trPr>
          <w:trHeight w:val="51"/>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F65F74" w:rsidRPr="00F65F74" w:rsidRDefault="00F65F74">
            <w:pPr>
              <w:rPr>
                <w:rFonts w:ascii="Arial" w:hAnsi="Arial" w:cs="Arial"/>
                <w:b/>
                <w:bCs/>
                <w:sz w:val="12"/>
                <w:szCs w:val="12"/>
              </w:rPr>
            </w:pPr>
            <w:r w:rsidRPr="00F65F74">
              <w:rPr>
                <w:rFonts w:ascii="Arial" w:hAnsi="Arial" w:cs="Arial"/>
                <w:b/>
                <w:bCs/>
                <w:sz w:val="12"/>
                <w:szCs w:val="12"/>
              </w:rPr>
              <w:t>Total Expenditure as per budget overleaf</w:t>
            </w:r>
          </w:p>
        </w:tc>
        <w:tc>
          <w:tcPr>
            <w:tcW w:w="884" w:type="dxa"/>
            <w:tcBorders>
              <w:top w:val="single" w:sz="12" w:space="0" w:color="auto"/>
              <w:left w:val="single" w:sz="4" w:space="0" w:color="auto"/>
              <w:bottom w:val="single" w:sz="12" w:space="0" w:color="auto"/>
              <w:right w:val="single" w:sz="4" w:space="0" w:color="auto"/>
            </w:tcBorders>
            <w:shd w:val="clear" w:color="000000" w:fill="C4D79B"/>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£852,523</w:t>
            </w:r>
          </w:p>
        </w:tc>
        <w:tc>
          <w:tcPr>
            <w:tcW w:w="637" w:type="dxa"/>
            <w:tcBorders>
              <w:top w:val="single" w:sz="12" w:space="0" w:color="auto"/>
              <w:left w:val="nil"/>
              <w:bottom w:val="single" w:sz="12" w:space="0" w:color="auto"/>
              <w:right w:val="nil"/>
            </w:tcBorders>
            <w:shd w:val="clear" w:color="000000" w:fill="C4D79B"/>
            <w:noWrap/>
            <w:vAlign w:val="bottom"/>
            <w:hideMark/>
          </w:tcPr>
          <w:p w:rsidR="00F65F74" w:rsidRPr="00F65F74" w:rsidRDefault="00F65F74">
            <w:pPr>
              <w:jc w:val="center"/>
              <w:rPr>
                <w:rFonts w:ascii="Arial" w:hAnsi="Arial" w:cs="Arial"/>
                <w:b/>
                <w:bCs/>
                <w:color w:val="000000"/>
                <w:sz w:val="12"/>
                <w:szCs w:val="12"/>
              </w:rPr>
            </w:pPr>
            <w:r w:rsidRPr="00F65F74">
              <w:rPr>
                <w:rFonts w:ascii="Arial" w:hAnsi="Arial" w:cs="Arial"/>
                <w:b/>
                <w:bCs/>
                <w:color w:val="000000"/>
                <w:sz w:val="12"/>
                <w:szCs w:val="12"/>
              </w:rPr>
              <w:t>2%</w:t>
            </w:r>
          </w:p>
        </w:tc>
        <w:tc>
          <w:tcPr>
            <w:tcW w:w="922" w:type="dxa"/>
            <w:tcBorders>
              <w:top w:val="single" w:sz="12" w:space="0" w:color="auto"/>
              <w:left w:val="single" w:sz="4" w:space="0" w:color="auto"/>
              <w:bottom w:val="single" w:sz="12" w:space="0" w:color="auto"/>
              <w:right w:val="single" w:sz="4" w:space="0" w:color="auto"/>
            </w:tcBorders>
            <w:shd w:val="clear" w:color="000000" w:fill="FFFF99"/>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£1,116,228</w:t>
            </w:r>
          </w:p>
        </w:tc>
        <w:tc>
          <w:tcPr>
            <w:tcW w:w="717" w:type="dxa"/>
            <w:tcBorders>
              <w:top w:val="single" w:sz="12" w:space="0" w:color="auto"/>
              <w:left w:val="nil"/>
              <w:bottom w:val="single" w:sz="12" w:space="0" w:color="auto"/>
              <w:right w:val="single" w:sz="12" w:space="0" w:color="auto"/>
            </w:tcBorders>
            <w:shd w:val="clear" w:color="000000" w:fill="FFFF99"/>
            <w:noWrap/>
            <w:vAlign w:val="bottom"/>
            <w:hideMark/>
          </w:tcPr>
          <w:p w:rsidR="00F65F74" w:rsidRPr="00F65F74" w:rsidRDefault="00F65F74">
            <w:pPr>
              <w:jc w:val="center"/>
              <w:rPr>
                <w:rFonts w:ascii="Arial" w:hAnsi="Arial" w:cs="Arial"/>
                <w:b/>
                <w:bCs/>
                <w:color w:val="000000"/>
                <w:sz w:val="12"/>
                <w:szCs w:val="12"/>
              </w:rPr>
            </w:pPr>
            <w:r w:rsidRPr="00F65F74">
              <w:rPr>
                <w:rFonts w:ascii="Arial" w:hAnsi="Arial" w:cs="Arial"/>
                <w:b/>
                <w:bCs/>
                <w:color w:val="000000"/>
                <w:sz w:val="12"/>
                <w:szCs w:val="12"/>
              </w:rPr>
              <w:t>31%</w:t>
            </w:r>
          </w:p>
        </w:tc>
        <w:tc>
          <w:tcPr>
            <w:tcW w:w="884" w:type="dxa"/>
            <w:tcBorders>
              <w:top w:val="single" w:sz="12" w:space="0" w:color="auto"/>
              <w:left w:val="nil"/>
              <w:bottom w:val="single" w:sz="12" w:space="0" w:color="auto"/>
              <w:right w:val="single" w:sz="4" w:space="0" w:color="auto"/>
            </w:tcBorders>
            <w:shd w:val="clear" w:color="000000" w:fill="FABF8F"/>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£1,024,369</w:t>
            </w:r>
          </w:p>
        </w:tc>
        <w:tc>
          <w:tcPr>
            <w:tcW w:w="775" w:type="dxa"/>
            <w:tcBorders>
              <w:top w:val="single" w:sz="12" w:space="0" w:color="auto"/>
              <w:left w:val="nil"/>
              <w:bottom w:val="single" w:sz="12" w:space="0" w:color="auto"/>
              <w:right w:val="single" w:sz="12" w:space="0" w:color="auto"/>
            </w:tcBorders>
            <w:shd w:val="clear" w:color="000000" w:fill="FABF8F"/>
            <w:noWrap/>
            <w:vAlign w:val="bottom"/>
            <w:hideMark/>
          </w:tcPr>
          <w:p w:rsidR="00F65F74" w:rsidRPr="00F65F74" w:rsidRDefault="00F65F74">
            <w:pPr>
              <w:jc w:val="center"/>
              <w:rPr>
                <w:rFonts w:ascii="Arial" w:hAnsi="Arial" w:cs="Arial"/>
                <w:b/>
                <w:bCs/>
                <w:color w:val="000000"/>
                <w:sz w:val="12"/>
                <w:szCs w:val="12"/>
              </w:rPr>
            </w:pPr>
            <w:r w:rsidRPr="00F65F74">
              <w:rPr>
                <w:rFonts w:ascii="Arial" w:hAnsi="Arial" w:cs="Arial"/>
                <w:b/>
                <w:bCs/>
                <w:color w:val="000000"/>
                <w:sz w:val="12"/>
                <w:szCs w:val="12"/>
              </w:rPr>
              <w:t>-8%</w:t>
            </w:r>
          </w:p>
        </w:tc>
        <w:tc>
          <w:tcPr>
            <w:tcW w:w="884" w:type="dxa"/>
            <w:tcBorders>
              <w:top w:val="single" w:sz="12" w:space="0" w:color="auto"/>
              <w:left w:val="nil"/>
              <w:bottom w:val="single" w:sz="12" w:space="0" w:color="auto"/>
              <w:right w:val="single" w:sz="4" w:space="0" w:color="auto"/>
            </w:tcBorders>
            <w:shd w:val="clear" w:color="000000" w:fill="FF99CC"/>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£992,770</w:t>
            </w:r>
          </w:p>
        </w:tc>
        <w:tc>
          <w:tcPr>
            <w:tcW w:w="675" w:type="dxa"/>
            <w:tcBorders>
              <w:top w:val="single" w:sz="12" w:space="0" w:color="auto"/>
              <w:left w:val="nil"/>
              <w:bottom w:val="single" w:sz="12" w:space="0" w:color="auto"/>
              <w:right w:val="single" w:sz="12" w:space="0" w:color="auto"/>
            </w:tcBorders>
            <w:shd w:val="clear" w:color="000000" w:fill="FF99CC"/>
            <w:noWrap/>
            <w:vAlign w:val="bottom"/>
            <w:hideMark/>
          </w:tcPr>
          <w:p w:rsidR="00F65F74" w:rsidRPr="00F65F74" w:rsidRDefault="00F65F74">
            <w:pPr>
              <w:jc w:val="center"/>
              <w:rPr>
                <w:rFonts w:ascii="Arial" w:hAnsi="Arial" w:cs="Arial"/>
                <w:b/>
                <w:bCs/>
                <w:color w:val="000000"/>
                <w:sz w:val="12"/>
                <w:szCs w:val="12"/>
              </w:rPr>
            </w:pPr>
            <w:r w:rsidRPr="00F65F74">
              <w:rPr>
                <w:rFonts w:ascii="Arial" w:hAnsi="Arial" w:cs="Arial"/>
                <w:b/>
                <w:bCs/>
                <w:color w:val="000000"/>
                <w:sz w:val="12"/>
                <w:szCs w:val="12"/>
              </w:rPr>
              <w:t>-3%</w:t>
            </w:r>
          </w:p>
        </w:tc>
        <w:tc>
          <w:tcPr>
            <w:tcW w:w="993" w:type="dxa"/>
            <w:tcBorders>
              <w:top w:val="single" w:sz="12" w:space="0" w:color="auto"/>
              <w:left w:val="single" w:sz="4" w:space="0" w:color="auto"/>
              <w:bottom w:val="single" w:sz="12" w:space="0" w:color="auto"/>
              <w:right w:val="single" w:sz="4" w:space="0" w:color="auto"/>
            </w:tcBorders>
            <w:shd w:val="clear" w:color="000000" w:fill="99CCFF"/>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£1,014,907</w:t>
            </w:r>
          </w:p>
        </w:tc>
        <w:tc>
          <w:tcPr>
            <w:tcW w:w="709" w:type="dxa"/>
            <w:tcBorders>
              <w:top w:val="single" w:sz="12" w:space="0" w:color="auto"/>
              <w:left w:val="nil"/>
              <w:bottom w:val="single" w:sz="12" w:space="0" w:color="auto"/>
              <w:right w:val="single" w:sz="12" w:space="0" w:color="auto"/>
            </w:tcBorders>
            <w:shd w:val="clear" w:color="000000" w:fill="99CCFF"/>
            <w:noWrap/>
            <w:vAlign w:val="bottom"/>
            <w:hideMark/>
          </w:tcPr>
          <w:p w:rsidR="00F65F74" w:rsidRPr="00F65F74" w:rsidRDefault="00F65F74">
            <w:pPr>
              <w:jc w:val="center"/>
              <w:rPr>
                <w:rFonts w:ascii="Arial" w:hAnsi="Arial" w:cs="Arial"/>
                <w:b/>
                <w:bCs/>
                <w:color w:val="000000"/>
                <w:sz w:val="12"/>
                <w:szCs w:val="12"/>
              </w:rPr>
            </w:pPr>
            <w:r w:rsidRPr="00F65F74">
              <w:rPr>
                <w:rFonts w:ascii="Arial" w:hAnsi="Arial" w:cs="Arial"/>
                <w:b/>
                <w:bCs/>
                <w:color w:val="000000"/>
                <w:sz w:val="12"/>
                <w:szCs w:val="12"/>
              </w:rPr>
              <w:t>2%</w:t>
            </w:r>
          </w:p>
        </w:tc>
        <w:tc>
          <w:tcPr>
            <w:tcW w:w="992" w:type="dxa"/>
            <w:tcBorders>
              <w:top w:val="single" w:sz="12" w:space="0" w:color="auto"/>
              <w:left w:val="single" w:sz="4" w:space="0" w:color="auto"/>
              <w:bottom w:val="single" w:sz="12" w:space="0" w:color="auto"/>
              <w:right w:val="single" w:sz="4" w:space="0" w:color="auto"/>
            </w:tcBorders>
            <w:shd w:val="clear" w:color="000000" w:fill="CC99FF"/>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£1,034,074</w:t>
            </w:r>
          </w:p>
        </w:tc>
        <w:tc>
          <w:tcPr>
            <w:tcW w:w="709" w:type="dxa"/>
            <w:tcBorders>
              <w:top w:val="single" w:sz="12" w:space="0" w:color="auto"/>
              <w:left w:val="nil"/>
              <w:bottom w:val="single" w:sz="12" w:space="0" w:color="auto"/>
              <w:right w:val="single" w:sz="12" w:space="0" w:color="auto"/>
            </w:tcBorders>
            <w:shd w:val="clear" w:color="000000" w:fill="CC99FF"/>
            <w:noWrap/>
            <w:vAlign w:val="bottom"/>
            <w:hideMark/>
          </w:tcPr>
          <w:p w:rsidR="00F65F74" w:rsidRPr="00F65F74" w:rsidRDefault="00F65F74">
            <w:pPr>
              <w:jc w:val="center"/>
              <w:rPr>
                <w:rFonts w:ascii="Arial" w:hAnsi="Arial" w:cs="Arial"/>
                <w:b/>
                <w:bCs/>
                <w:color w:val="000000"/>
                <w:sz w:val="12"/>
                <w:szCs w:val="12"/>
              </w:rPr>
            </w:pPr>
            <w:r w:rsidRPr="00F65F74">
              <w:rPr>
                <w:rFonts w:ascii="Arial" w:hAnsi="Arial" w:cs="Arial"/>
                <w:b/>
                <w:bCs/>
                <w:color w:val="000000"/>
                <w:sz w:val="12"/>
                <w:szCs w:val="12"/>
              </w:rPr>
              <w:t>2%</w:t>
            </w:r>
          </w:p>
        </w:tc>
        <w:tc>
          <w:tcPr>
            <w:tcW w:w="992" w:type="dxa"/>
            <w:tcBorders>
              <w:top w:val="single" w:sz="12" w:space="0" w:color="auto"/>
              <w:left w:val="single" w:sz="4" w:space="0" w:color="auto"/>
              <w:bottom w:val="single" w:sz="12" w:space="0" w:color="auto"/>
              <w:right w:val="single" w:sz="4" w:space="0" w:color="auto"/>
            </w:tcBorders>
            <w:shd w:val="clear" w:color="000000" w:fill="EBF1DE"/>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£1,084,651</w:t>
            </w:r>
          </w:p>
        </w:tc>
        <w:tc>
          <w:tcPr>
            <w:tcW w:w="709" w:type="dxa"/>
            <w:tcBorders>
              <w:top w:val="single" w:sz="12" w:space="0" w:color="auto"/>
              <w:left w:val="nil"/>
              <w:bottom w:val="single" w:sz="12" w:space="0" w:color="auto"/>
              <w:right w:val="single" w:sz="12" w:space="0" w:color="auto"/>
            </w:tcBorders>
            <w:shd w:val="clear" w:color="000000" w:fill="EBF1DE"/>
            <w:noWrap/>
            <w:vAlign w:val="bottom"/>
            <w:hideMark/>
          </w:tcPr>
          <w:p w:rsidR="00F65F74" w:rsidRPr="00F65F74" w:rsidRDefault="00F65F74">
            <w:pPr>
              <w:jc w:val="center"/>
              <w:rPr>
                <w:rFonts w:ascii="Arial" w:hAnsi="Arial" w:cs="Arial"/>
                <w:b/>
                <w:bCs/>
                <w:color w:val="000000"/>
                <w:sz w:val="12"/>
                <w:szCs w:val="12"/>
              </w:rPr>
            </w:pPr>
            <w:r w:rsidRPr="00F65F74">
              <w:rPr>
                <w:rFonts w:ascii="Arial" w:hAnsi="Arial" w:cs="Arial"/>
                <w:b/>
                <w:bCs/>
                <w:color w:val="000000"/>
                <w:sz w:val="12"/>
                <w:szCs w:val="12"/>
              </w:rPr>
              <w:t>5%</w:t>
            </w:r>
          </w:p>
        </w:tc>
        <w:tc>
          <w:tcPr>
            <w:tcW w:w="1700"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b/>
                <w:bCs/>
                <w:color w:val="000000"/>
                <w:sz w:val="12"/>
                <w:szCs w:val="12"/>
              </w:rPr>
            </w:pPr>
          </w:p>
        </w:tc>
      </w:tr>
      <w:tr w:rsidR="00F65F74" w:rsidRPr="00F65F74" w:rsidTr="00567A1F">
        <w:trPr>
          <w:trHeight w:val="58"/>
        </w:trPr>
        <w:tc>
          <w:tcPr>
            <w:tcW w:w="2694" w:type="dxa"/>
            <w:tcBorders>
              <w:top w:val="nil"/>
              <w:left w:val="single" w:sz="4" w:space="0" w:color="auto"/>
              <w:bottom w:val="nil"/>
              <w:right w:val="single" w:sz="4" w:space="0" w:color="auto"/>
            </w:tcBorders>
            <w:shd w:val="clear" w:color="auto" w:fill="auto"/>
            <w:vAlign w:val="bottom"/>
            <w:hideMark/>
          </w:tcPr>
          <w:p w:rsidR="00F65F74" w:rsidRPr="00F65F74" w:rsidRDefault="00F65F74">
            <w:pPr>
              <w:rPr>
                <w:rFonts w:ascii="Arial" w:hAnsi="Arial" w:cs="Arial"/>
                <w:color w:val="000000"/>
                <w:sz w:val="12"/>
                <w:szCs w:val="12"/>
              </w:rPr>
            </w:pPr>
            <w:r w:rsidRPr="00F65F74">
              <w:rPr>
                <w:rFonts w:ascii="Arial" w:hAnsi="Arial" w:cs="Arial"/>
                <w:color w:val="000000"/>
                <w:sz w:val="12"/>
                <w:szCs w:val="12"/>
              </w:rPr>
              <w:t>Adjustments to/from Reserves at Year End</w:t>
            </w:r>
          </w:p>
        </w:tc>
        <w:tc>
          <w:tcPr>
            <w:tcW w:w="884" w:type="dxa"/>
            <w:tcBorders>
              <w:top w:val="nil"/>
              <w:left w:val="single" w:sz="4" w:space="0" w:color="auto"/>
              <w:bottom w:val="nil"/>
              <w:right w:val="single" w:sz="4" w:space="0" w:color="auto"/>
            </w:tcBorders>
            <w:shd w:val="clear" w:color="000000" w:fill="C4D79B"/>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£175,921</w:t>
            </w:r>
          </w:p>
        </w:tc>
        <w:tc>
          <w:tcPr>
            <w:tcW w:w="637" w:type="dxa"/>
            <w:tcBorders>
              <w:top w:val="nil"/>
              <w:left w:val="nil"/>
              <w:bottom w:val="nil"/>
              <w:right w:val="nil"/>
            </w:tcBorders>
            <w:shd w:val="clear" w:color="000000" w:fill="C4D79B"/>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 </w:t>
            </w:r>
          </w:p>
        </w:tc>
        <w:tc>
          <w:tcPr>
            <w:tcW w:w="922" w:type="dxa"/>
            <w:tcBorders>
              <w:top w:val="nil"/>
              <w:left w:val="single" w:sz="4" w:space="0" w:color="auto"/>
              <w:bottom w:val="nil"/>
              <w:right w:val="single" w:sz="4" w:space="0" w:color="auto"/>
            </w:tcBorders>
            <w:shd w:val="clear" w:color="000000" w:fill="FFFF99"/>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£68,506</w:t>
            </w:r>
          </w:p>
        </w:tc>
        <w:tc>
          <w:tcPr>
            <w:tcW w:w="717" w:type="dxa"/>
            <w:tcBorders>
              <w:top w:val="nil"/>
              <w:left w:val="nil"/>
              <w:bottom w:val="nil"/>
              <w:right w:val="single" w:sz="12" w:space="0" w:color="auto"/>
            </w:tcBorders>
            <w:shd w:val="clear" w:color="000000" w:fill="FFFF99"/>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 </w:t>
            </w:r>
          </w:p>
        </w:tc>
        <w:tc>
          <w:tcPr>
            <w:tcW w:w="884" w:type="dxa"/>
            <w:tcBorders>
              <w:top w:val="nil"/>
              <w:left w:val="nil"/>
              <w:bottom w:val="nil"/>
              <w:right w:val="single" w:sz="4" w:space="0" w:color="auto"/>
            </w:tcBorders>
            <w:shd w:val="clear" w:color="000000" w:fill="FABF8F"/>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-£60,869</w:t>
            </w:r>
          </w:p>
        </w:tc>
        <w:tc>
          <w:tcPr>
            <w:tcW w:w="775" w:type="dxa"/>
            <w:tcBorders>
              <w:top w:val="nil"/>
              <w:left w:val="nil"/>
              <w:bottom w:val="nil"/>
              <w:right w:val="single" w:sz="12" w:space="0" w:color="auto"/>
            </w:tcBorders>
            <w:shd w:val="clear" w:color="000000" w:fill="FABF8F"/>
            <w:noWrap/>
            <w:vAlign w:val="bottom"/>
            <w:hideMark/>
          </w:tcPr>
          <w:p w:rsidR="00F65F74" w:rsidRPr="00F65F74" w:rsidRDefault="00F65F74">
            <w:pPr>
              <w:jc w:val="center"/>
              <w:rPr>
                <w:rFonts w:ascii="Arial" w:hAnsi="Arial" w:cs="Arial"/>
                <w:b/>
                <w:bCs/>
                <w:color w:val="FF0000"/>
                <w:sz w:val="12"/>
                <w:szCs w:val="12"/>
              </w:rPr>
            </w:pPr>
            <w:r w:rsidRPr="00F65F74">
              <w:rPr>
                <w:rFonts w:ascii="Arial" w:hAnsi="Arial" w:cs="Arial"/>
                <w:b/>
                <w:bCs/>
                <w:color w:val="FF0000"/>
                <w:sz w:val="12"/>
                <w:szCs w:val="12"/>
              </w:rPr>
              <w:t> </w:t>
            </w:r>
          </w:p>
        </w:tc>
        <w:tc>
          <w:tcPr>
            <w:tcW w:w="884" w:type="dxa"/>
            <w:tcBorders>
              <w:top w:val="nil"/>
              <w:left w:val="nil"/>
              <w:bottom w:val="nil"/>
              <w:right w:val="single" w:sz="4" w:space="0" w:color="auto"/>
            </w:tcBorders>
            <w:shd w:val="clear" w:color="000000" w:fill="FF99CC"/>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£2,001</w:t>
            </w:r>
          </w:p>
        </w:tc>
        <w:tc>
          <w:tcPr>
            <w:tcW w:w="675" w:type="dxa"/>
            <w:tcBorders>
              <w:top w:val="nil"/>
              <w:left w:val="nil"/>
              <w:bottom w:val="nil"/>
              <w:right w:val="single" w:sz="4" w:space="0" w:color="auto"/>
            </w:tcBorders>
            <w:shd w:val="clear" w:color="000000" w:fill="FF99CC"/>
            <w:noWrap/>
            <w:vAlign w:val="bottom"/>
            <w:hideMark/>
          </w:tcPr>
          <w:p w:rsidR="00F65F74" w:rsidRPr="00F65F74" w:rsidRDefault="00F65F74">
            <w:pPr>
              <w:jc w:val="center"/>
              <w:rPr>
                <w:rFonts w:ascii="Arial" w:hAnsi="Arial" w:cs="Arial"/>
                <w:b/>
                <w:bCs/>
                <w:color w:val="FF0000"/>
                <w:sz w:val="12"/>
                <w:szCs w:val="12"/>
              </w:rPr>
            </w:pPr>
            <w:r w:rsidRPr="00F65F74">
              <w:rPr>
                <w:rFonts w:ascii="Arial" w:hAnsi="Arial" w:cs="Arial"/>
                <w:b/>
                <w:bCs/>
                <w:color w:val="FF0000"/>
                <w:sz w:val="12"/>
                <w:szCs w:val="12"/>
              </w:rPr>
              <w:t> </w:t>
            </w:r>
          </w:p>
        </w:tc>
        <w:tc>
          <w:tcPr>
            <w:tcW w:w="993" w:type="dxa"/>
            <w:tcBorders>
              <w:top w:val="nil"/>
              <w:left w:val="nil"/>
              <w:bottom w:val="nil"/>
              <w:right w:val="single" w:sz="4" w:space="0" w:color="auto"/>
            </w:tcBorders>
            <w:shd w:val="clear" w:color="000000" w:fill="99CCFF"/>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-£50,000</w:t>
            </w:r>
          </w:p>
        </w:tc>
        <w:tc>
          <w:tcPr>
            <w:tcW w:w="709" w:type="dxa"/>
            <w:tcBorders>
              <w:top w:val="nil"/>
              <w:left w:val="nil"/>
              <w:bottom w:val="nil"/>
              <w:right w:val="single" w:sz="4" w:space="0" w:color="auto"/>
            </w:tcBorders>
            <w:shd w:val="clear" w:color="000000" w:fill="99CCFF"/>
            <w:noWrap/>
            <w:vAlign w:val="bottom"/>
            <w:hideMark/>
          </w:tcPr>
          <w:p w:rsidR="00F65F74" w:rsidRPr="00F65F74" w:rsidRDefault="00F65F74">
            <w:pPr>
              <w:jc w:val="center"/>
              <w:rPr>
                <w:rFonts w:ascii="Arial" w:hAnsi="Arial" w:cs="Arial"/>
                <w:b/>
                <w:bCs/>
                <w:color w:val="FF0000"/>
                <w:sz w:val="12"/>
                <w:szCs w:val="12"/>
              </w:rPr>
            </w:pPr>
            <w:r w:rsidRPr="00F65F74">
              <w:rPr>
                <w:rFonts w:ascii="Arial" w:hAnsi="Arial" w:cs="Arial"/>
                <w:b/>
                <w:bCs/>
                <w:color w:val="FF0000"/>
                <w:sz w:val="12"/>
                <w:szCs w:val="12"/>
              </w:rPr>
              <w:t> </w:t>
            </w:r>
          </w:p>
        </w:tc>
        <w:tc>
          <w:tcPr>
            <w:tcW w:w="992" w:type="dxa"/>
            <w:tcBorders>
              <w:top w:val="nil"/>
              <w:left w:val="nil"/>
              <w:bottom w:val="nil"/>
              <w:right w:val="single" w:sz="4" w:space="0" w:color="auto"/>
            </w:tcBorders>
            <w:shd w:val="clear" w:color="000000" w:fill="CC99FF"/>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-£41,000</w:t>
            </w:r>
          </w:p>
        </w:tc>
        <w:tc>
          <w:tcPr>
            <w:tcW w:w="709" w:type="dxa"/>
            <w:tcBorders>
              <w:top w:val="nil"/>
              <w:left w:val="nil"/>
              <w:bottom w:val="nil"/>
              <w:right w:val="single" w:sz="4" w:space="0" w:color="auto"/>
            </w:tcBorders>
            <w:shd w:val="clear" w:color="000000" w:fill="CC99FF"/>
            <w:noWrap/>
            <w:vAlign w:val="bottom"/>
            <w:hideMark/>
          </w:tcPr>
          <w:p w:rsidR="00F65F74" w:rsidRPr="00F65F74" w:rsidRDefault="00F65F74">
            <w:pPr>
              <w:jc w:val="center"/>
              <w:rPr>
                <w:rFonts w:ascii="Arial" w:hAnsi="Arial" w:cs="Arial"/>
                <w:b/>
                <w:bCs/>
                <w:color w:val="FF0000"/>
                <w:sz w:val="12"/>
                <w:szCs w:val="12"/>
              </w:rPr>
            </w:pPr>
            <w:r w:rsidRPr="00F65F74">
              <w:rPr>
                <w:rFonts w:ascii="Arial" w:hAnsi="Arial" w:cs="Arial"/>
                <w:b/>
                <w:bCs/>
                <w:color w:val="FF0000"/>
                <w:sz w:val="12"/>
                <w:szCs w:val="12"/>
              </w:rPr>
              <w:t> </w:t>
            </w:r>
          </w:p>
        </w:tc>
        <w:tc>
          <w:tcPr>
            <w:tcW w:w="992" w:type="dxa"/>
            <w:tcBorders>
              <w:top w:val="nil"/>
              <w:left w:val="nil"/>
              <w:bottom w:val="nil"/>
              <w:right w:val="single" w:sz="4" w:space="0" w:color="auto"/>
            </w:tcBorders>
            <w:shd w:val="clear" w:color="000000" w:fill="EBF1DE"/>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-£74,500</w:t>
            </w:r>
          </w:p>
        </w:tc>
        <w:tc>
          <w:tcPr>
            <w:tcW w:w="709" w:type="dxa"/>
            <w:tcBorders>
              <w:top w:val="nil"/>
              <w:left w:val="nil"/>
              <w:bottom w:val="nil"/>
              <w:right w:val="single" w:sz="4" w:space="0" w:color="auto"/>
            </w:tcBorders>
            <w:shd w:val="clear" w:color="000000" w:fill="EBF1DE"/>
            <w:noWrap/>
            <w:vAlign w:val="bottom"/>
            <w:hideMark/>
          </w:tcPr>
          <w:p w:rsidR="00F65F74" w:rsidRPr="00F65F74" w:rsidRDefault="00F65F74">
            <w:pPr>
              <w:jc w:val="center"/>
              <w:rPr>
                <w:rFonts w:ascii="Arial" w:hAnsi="Arial" w:cs="Arial"/>
                <w:b/>
                <w:bCs/>
                <w:color w:val="FF0000"/>
                <w:sz w:val="12"/>
                <w:szCs w:val="12"/>
              </w:rPr>
            </w:pPr>
            <w:r w:rsidRPr="00F65F74">
              <w:rPr>
                <w:rFonts w:ascii="Arial" w:hAnsi="Arial" w:cs="Arial"/>
                <w:b/>
                <w:bCs/>
                <w:color w:val="FF0000"/>
                <w:sz w:val="12"/>
                <w:szCs w:val="12"/>
              </w:rPr>
              <w:t> </w:t>
            </w:r>
          </w:p>
        </w:tc>
        <w:tc>
          <w:tcPr>
            <w:tcW w:w="1700"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b/>
                <w:bCs/>
                <w:color w:val="FF0000"/>
                <w:sz w:val="12"/>
                <w:szCs w:val="12"/>
              </w:rPr>
            </w:pPr>
          </w:p>
        </w:tc>
      </w:tr>
      <w:tr w:rsidR="00F65F74" w:rsidRPr="00F65F74" w:rsidTr="00567A1F">
        <w:trPr>
          <w:trHeight w:val="38"/>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F65F74" w:rsidRPr="00F65F74" w:rsidRDefault="00F65F74">
            <w:pPr>
              <w:rPr>
                <w:rFonts w:ascii="Arial" w:hAnsi="Arial" w:cs="Arial"/>
                <w:b/>
                <w:bCs/>
                <w:sz w:val="12"/>
                <w:szCs w:val="12"/>
              </w:rPr>
            </w:pPr>
            <w:r w:rsidRPr="00F65F74">
              <w:rPr>
                <w:rFonts w:ascii="Arial" w:hAnsi="Arial" w:cs="Arial"/>
                <w:b/>
                <w:bCs/>
                <w:sz w:val="12"/>
                <w:szCs w:val="12"/>
              </w:rPr>
              <w:t>Total budget + reserve adjustment</w:t>
            </w:r>
          </w:p>
        </w:tc>
        <w:tc>
          <w:tcPr>
            <w:tcW w:w="884" w:type="dxa"/>
            <w:tcBorders>
              <w:top w:val="single" w:sz="12" w:space="0" w:color="auto"/>
              <w:left w:val="single" w:sz="4" w:space="0" w:color="auto"/>
              <w:bottom w:val="single" w:sz="12" w:space="0" w:color="auto"/>
              <w:right w:val="single" w:sz="4" w:space="0" w:color="auto"/>
            </w:tcBorders>
            <w:shd w:val="clear" w:color="000000" w:fill="C4D79B"/>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£1,028,445</w:t>
            </w:r>
          </w:p>
        </w:tc>
        <w:tc>
          <w:tcPr>
            <w:tcW w:w="637" w:type="dxa"/>
            <w:tcBorders>
              <w:top w:val="single" w:sz="12" w:space="0" w:color="auto"/>
              <w:left w:val="nil"/>
              <w:bottom w:val="single" w:sz="12" w:space="0" w:color="auto"/>
              <w:right w:val="nil"/>
            </w:tcBorders>
            <w:shd w:val="clear" w:color="000000" w:fill="C4D79B"/>
            <w:noWrap/>
            <w:vAlign w:val="bottom"/>
            <w:hideMark/>
          </w:tcPr>
          <w:p w:rsidR="00F65F74" w:rsidRPr="00F65F74" w:rsidRDefault="00F65F74">
            <w:pPr>
              <w:jc w:val="center"/>
              <w:rPr>
                <w:rFonts w:ascii="Arial" w:hAnsi="Arial" w:cs="Arial"/>
                <w:b/>
                <w:bCs/>
                <w:color w:val="000000"/>
                <w:sz w:val="12"/>
                <w:szCs w:val="12"/>
              </w:rPr>
            </w:pPr>
            <w:r w:rsidRPr="00F65F74">
              <w:rPr>
                <w:rFonts w:ascii="Arial" w:hAnsi="Arial" w:cs="Arial"/>
                <w:b/>
                <w:bCs/>
                <w:color w:val="000000"/>
                <w:sz w:val="12"/>
                <w:szCs w:val="12"/>
              </w:rPr>
              <w:t>16%</w:t>
            </w:r>
          </w:p>
        </w:tc>
        <w:tc>
          <w:tcPr>
            <w:tcW w:w="922" w:type="dxa"/>
            <w:tcBorders>
              <w:top w:val="single" w:sz="12" w:space="0" w:color="auto"/>
              <w:left w:val="single" w:sz="4" w:space="0" w:color="auto"/>
              <w:bottom w:val="single" w:sz="12" w:space="0" w:color="auto"/>
              <w:right w:val="single" w:sz="4" w:space="0" w:color="auto"/>
            </w:tcBorders>
            <w:shd w:val="clear" w:color="000000" w:fill="FFFF99"/>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£1,184,735</w:t>
            </w:r>
          </w:p>
        </w:tc>
        <w:tc>
          <w:tcPr>
            <w:tcW w:w="717" w:type="dxa"/>
            <w:tcBorders>
              <w:top w:val="single" w:sz="12" w:space="0" w:color="auto"/>
              <w:left w:val="nil"/>
              <w:bottom w:val="single" w:sz="12" w:space="0" w:color="auto"/>
              <w:right w:val="single" w:sz="12" w:space="0" w:color="auto"/>
            </w:tcBorders>
            <w:shd w:val="clear" w:color="000000" w:fill="FFFF99"/>
            <w:noWrap/>
            <w:vAlign w:val="bottom"/>
            <w:hideMark/>
          </w:tcPr>
          <w:p w:rsidR="00F65F74" w:rsidRPr="00F65F74" w:rsidRDefault="00F65F74">
            <w:pPr>
              <w:jc w:val="center"/>
              <w:rPr>
                <w:rFonts w:ascii="Arial" w:hAnsi="Arial" w:cs="Arial"/>
                <w:b/>
                <w:bCs/>
                <w:color w:val="000000"/>
                <w:sz w:val="12"/>
                <w:szCs w:val="12"/>
              </w:rPr>
            </w:pPr>
            <w:r w:rsidRPr="00F65F74">
              <w:rPr>
                <w:rFonts w:ascii="Arial" w:hAnsi="Arial" w:cs="Arial"/>
                <w:b/>
                <w:bCs/>
                <w:color w:val="000000"/>
                <w:sz w:val="12"/>
                <w:szCs w:val="12"/>
              </w:rPr>
              <w:t>15%</w:t>
            </w:r>
          </w:p>
        </w:tc>
        <w:tc>
          <w:tcPr>
            <w:tcW w:w="884" w:type="dxa"/>
            <w:tcBorders>
              <w:top w:val="single" w:sz="12" w:space="0" w:color="auto"/>
              <w:left w:val="nil"/>
              <w:bottom w:val="single" w:sz="12" w:space="0" w:color="auto"/>
              <w:right w:val="single" w:sz="4" w:space="0" w:color="auto"/>
            </w:tcBorders>
            <w:shd w:val="clear" w:color="000000" w:fill="FABF8F"/>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£963,500</w:t>
            </w:r>
          </w:p>
        </w:tc>
        <w:tc>
          <w:tcPr>
            <w:tcW w:w="775" w:type="dxa"/>
            <w:tcBorders>
              <w:top w:val="single" w:sz="12" w:space="0" w:color="auto"/>
              <w:left w:val="nil"/>
              <w:bottom w:val="single" w:sz="12" w:space="0" w:color="auto"/>
              <w:right w:val="single" w:sz="12" w:space="0" w:color="auto"/>
            </w:tcBorders>
            <w:shd w:val="clear" w:color="000000" w:fill="FABF8F"/>
            <w:noWrap/>
            <w:vAlign w:val="bottom"/>
            <w:hideMark/>
          </w:tcPr>
          <w:p w:rsidR="00F65F74" w:rsidRPr="00F65F74" w:rsidRDefault="00F65F74">
            <w:pPr>
              <w:jc w:val="center"/>
              <w:rPr>
                <w:rFonts w:ascii="Arial" w:hAnsi="Arial" w:cs="Arial"/>
                <w:b/>
                <w:bCs/>
                <w:color w:val="000000"/>
                <w:sz w:val="12"/>
                <w:szCs w:val="12"/>
              </w:rPr>
            </w:pPr>
            <w:r w:rsidRPr="00F65F74">
              <w:rPr>
                <w:rFonts w:ascii="Arial" w:hAnsi="Arial" w:cs="Arial"/>
                <w:b/>
                <w:bCs/>
                <w:color w:val="000000"/>
                <w:sz w:val="12"/>
                <w:szCs w:val="12"/>
              </w:rPr>
              <w:t>-19%</w:t>
            </w:r>
          </w:p>
        </w:tc>
        <w:tc>
          <w:tcPr>
            <w:tcW w:w="884" w:type="dxa"/>
            <w:tcBorders>
              <w:top w:val="single" w:sz="12" w:space="0" w:color="auto"/>
              <w:left w:val="nil"/>
              <w:bottom w:val="single" w:sz="12" w:space="0" w:color="auto"/>
              <w:right w:val="single" w:sz="4" w:space="0" w:color="auto"/>
            </w:tcBorders>
            <w:shd w:val="clear" w:color="000000" w:fill="FF99CC"/>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£994,771</w:t>
            </w:r>
          </w:p>
        </w:tc>
        <w:tc>
          <w:tcPr>
            <w:tcW w:w="675" w:type="dxa"/>
            <w:tcBorders>
              <w:top w:val="single" w:sz="12" w:space="0" w:color="auto"/>
              <w:left w:val="nil"/>
              <w:bottom w:val="single" w:sz="12" w:space="0" w:color="auto"/>
              <w:right w:val="single" w:sz="12" w:space="0" w:color="auto"/>
            </w:tcBorders>
            <w:shd w:val="clear" w:color="000000" w:fill="FF99CC"/>
            <w:noWrap/>
            <w:vAlign w:val="bottom"/>
            <w:hideMark/>
          </w:tcPr>
          <w:p w:rsidR="00F65F74" w:rsidRPr="00F65F74" w:rsidRDefault="00F65F74">
            <w:pPr>
              <w:jc w:val="center"/>
              <w:rPr>
                <w:rFonts w:ascii="Arial" w:hAnsi="Arial" w:cs="Arial"/>
                <w:b/>
                <w:bCs/>
                <w:color w:val="000000"/>
                <w:sz w:val="12"/>
                <w:szCs w:val="12"/>
              </w:rPr>
            </w:pPr>
            <w:r w:rsidRPr="00F65F74">
              <w:rPr>
                <w:rFonts w:ascii="Arial" w:hAnsi="Arial" w:cs="Arial"/>
                <w:b/>
                <w:bCs/>
                <w:color w:val="000000"/>
                <w:sz w:val="12"/>
                <w:szCs w:val="12"/>
              </w:rPr>
              <w:t>3%</w:t>
            </w:r>
          </w:p>
        </w:tc>
        <w:tc>
          <w:tcPr>
            <w:tcW w:w="993" w:type="dxa"/>
            <w:tcBorders>
              <w:top w:val="single" w:sz="12" w:space="0" w:color="auto"/>
              <w:left w:val="single" w:sz="4" w:space="0" w:color="auto"/>
              <w:bottom w:val="single" w:sz="12" w:space="0" w:color="auto"/>
              <w:right w:val="single" w:sz="4" w:space="0" w:color="auto"/>
            </w:tcBorders>
            <w:shd w:val="clear" w:color="000000" w:fill="99CCFF"/>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£964,907</w:t>
            </w:r>
          </w:p>
        </w:tc>
        <w:tc>
          <w:tcPr>
            <w:tcW w:w="709" w:type="dxa"/>
            <w:tcBorders>
              <w:top w:val="single" w:sz="12" w:space="0" w:color="auto"/>
              <w:left w:val="nil"/>
              <w:bottom w:val="single" w:sz="12" w:space="0" w:color="auto"/>
              <w:right w:val="single" w:sz="12" w:space="0" w:color="auto"/>
            </w:tcBorders>
            <w:shd w:val="clear" w:color="000000" w:fill="99CCFF"/>
            <w:noWrap/>
            <w:vAlign w:val="bottom"/>
            <w:hideMark/>
          </w:tcPr>
          <w:p w:rsidR="00F65F74" w:rsidRPr="00F65F74" w:rsidRDefault="00F65F74">
            <w:pPr>
              <w:jc w:val="center"/>
              <w:rPr>
                <w:rFonts w:ascii="Arial" w:hAnsi="Arial" w:cs="Arial"/>
                <w:b/>
                <w:bCs/>
                <w:color w:val="000000"/>
                <w:sz w:val="12"/>
                <w:szCs w:val="12"/>
              </w:rPr>
            </w:pPr>
            <w:r w:rsidRPr="00F65F74">
              <w:rPr>
                <w:rFonts w:ascii="Arial" w:hAnsi="Arial" w:cs="Arial"/>
                <w:b/>
                <w:bCs/>
                <w:color w:val="000000"/>
                <w:sz w:val="12"/>
                <w:szCs w:val="12"/>
              </w:rPr>
              <w:t>-3%</w:t>
            </w:r>
          </w:p>
        </w:tc>
        <w:tc>
          <w:tcPr>
            <w:tcW w:w="992" w:type="dxa"/>
            <w:tcBorders>
              <w:top w:val="single" w:sz="12" w:space="0" w:color="auto"/>
              <w:left w:val="single" w:sz="4" w:space="0" w:color="auto"/>
              <w:bottom w:val="single" w:sz="12" w:space="0" w:color="auto"/>
              <w:right w:val="single" w:sz="4" w:space="0" w:color="auto"/>
            </w:tcBorders>
            <w:shd w:val="clear" w:color="000000" w:fill="CC99FF"/>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£993,074</w:t>
            </w:r>
          </w:p>
        </w:tc>
        <w:tc>
          <w:tcPr>
            <w:tcW w:w="709" w:type="dxa"/>
            <w:tcBorders>
              <w:top w:val="single" w:sz="12" w:space="0" w:color="auto"/>
              <w:left w:val="nil"/>
              <w:bottom w:val="single" w:sz="12" w:space="0" w:color="auto"/>
              <w:right w:val="single" w:sz="12" w:space="0" w:color="auto"/>
            </w:tcBorders>
            <w:shd w:val="clear" w:color="000000" w:fill="CC99FF"/>
            <w:noWrap/>
            <w:vAlign w:val="bottom"/>
            <w:hideMark/>
          </w:tcPr>
          <w:p w:rsidR="00F65F74" w:rsidRPr="00F65F74" w:rsidRDefault="00F65F74">
            <w:pPr>
              <w:jc w:val="center"/>
              <w:rPr>
                <w:rFonts w:ascii="Arial" w:hAnsi="Arial" w:cs="Arial"/>
                <w:b/>
                <w:bCs/>
                <w:color w:val="000000"/>
                <w:sz w:val="12"/>
                <w:szCs w:val="12"/>
              </w:rPr>
            </w:pPr>
            <w:r w:rsidRPr="00F65F74">
              <w:rPr>
                <w:rFonts w:ascii="Arial" w:hAnsi="Arial" w:cs="Arial"/>
                <w:b/>
                <w:bCs/>
                <w:color w:val="000000"/>
                <w:sz w:val="12"/>
                <w:szCs w:val="12"/>
              </w:rPr>
              <w:t>3%</w:t>
            </w:r>
          </w:p>
        </w:tc>
        <w:tc>
          <w:tcPr>
            <w:tcW w:w="992" w:type="dxa"/>
            <w:tcBorders>
              <w:top w:val="single" w:sz="12" w:space="0" w:color="auto"/>
              <w:left w:val="single" w:sz="4" w:space="0" w:color="auto"/>
              <w:bottom w:val="single" w:sz="12" w:space="0" w:color="auto"/>
              <w:right w:val="single" w:sz="4" w:space="0" w:color="auto"/>
            </w:tcBorders>
            <w:shd w:val="clear" w:color="000000" w:fill="EBF1DE"/>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£1,010,151</w:t>
            </w:r>
          </w:p>
        </w:tc>
        <w:tc>
          <w:tcPr>
            <w:tcW w:w="709" w:type="dxa"/>
            <w:tcBorders>
              <w:top w:val="single" w:sz="12" w:space="0" w:color="auto"/>
              <w:left w:val="nil"/>
              <w:bottom w:val="single" w:sz="12" w:space="0" w:color="auto"/>
              <w:right w:val="single" w:sz="12" w:space="0" w:color="auto"/>
            </w:tcBorders>
            <w:shd w:val="clear" w:color="000000" w:fill="EBF1DE"/>
            <w:noWrap/>
            <w:vAlign w:val="bottom"/>
            <w:hideMark/>
          </w:tcPr>
          <w:p w:rsidR="00F65F74" w:rsidRPr="00F65F74" w:rsidRDefault="00F65F74">
            <w:pPr>
              <w:jc w:val="center"/>
              <w:rPr>
                <w:rFonts w:ascii="Arial" w:hAnsi="Arial" w:cs="Arial"/>
                <w:b/>
                <w:bCs/>
                <w:color w:val="000000"/>
                <w:sz w:val="12"/>
                <w:szCs w:val="12"/>
              </w:rPr>
            </w:pPr>
            <w:r w:rsidRPr="00F65F74">
              <w:rPr>
                <w:rFonts w:ascii="Arial" w:hAnsi="Arial" w:cs="Arial"/>
                <w:b/>
                <w:bCs/>
                <w:color w:val="000000"/>
                <w:sz w:val="12"/>
                <w:szCs w:val="12"/>
              </w:rPr>
              <w:t>2%</w:t>
            </w:r>
          </w:p>
        </w:tc>
        <w:tc>
          <w:tcPr>
            <w:tcW w:w="1700"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b/>
                <w:bCs/>
                <w:color w:val="000000"/>
                <w:sz w:val="12"/>
                <w:szCs w:val="12"/>
              </w:rPr>
            </w:pPr>
          </w:p>
        </w:tc>
      </w:tr>
      <w:tr w:rsidR="00F65F74" w:rsidRPr="00F65F74" w:rsidTr="00567A1F">
        <w:trPr>
          <w:trHeight w:val="120"/>
        </w:trPr>
        <w:tc>
          <w:tcPr>
            <w:tcW w:w="2694" w:type="dxa"/>
            <w:tcBorders>
              <w:top w:val="nil"/>
              <w:left w:val="nil"/>
              <w:bottom w:val="nil"/>
              <w:right w:val="nil"/>
            </w:tcBorders>
            <w:shd w:val="clear" w:color="auto" w:fill="auto"/>
            <w:noWrap/>
            <w:vAlign w:val="bottom"/>
            <w:hideMark/>
          </w:tcPr>
          <w:p w:rsidR="00F65F74" w:rsidRPr="00F65F74" w:rsidRDefault="00F65F74">
            <w:pPr>
              <w:rPr>
                <w:rFonts w:ascii="Arial" w:hAnsi="Arial" w:cs="Arial"/>
                <w:sz w:val="12"/>
                <w:szCs w:val="12"/>
              </w:rPr>
            </w:pPr>
          </w:p>
        </w:tc>
        <w:tc>
          <w:tcPr>
            <w:tcW w:w="884" w:type="dxa"/>
            <w:tcBorders>
              <w:top w:val="nil"/>
              <w:left w:val="single" w:sz="4" w:space="0" w:color="auto"/>
              <w:bottom w:val="nil"/>
              <w:right w:val="nil"/>
            </w:tcBorders>
            <w:shd w:val="clear" w:color="auto" w:fill="auto"/>
            <w:noWrap/>
            <w:vAlign w:val="bottom"/>
            <w:hideMark/>
          </w:tcPr>
          <w:p w:rsidR="00F65F74" w:rsidRPr="00F65F74" w:rsidRDefault="00F65F74">
            <w:pPr>
              <w:rPr>
                <w:rFonts w:ascii="Arial" w:hAnsi="Arial" w:cs="Arial"/>
                <w:sz w:val="12"/>
                <w:szCs w:val="12"/>
              </w:rPr>
            </w:pPr>
            <w:r w:rsidRPr="00F65F74">
              <w:rPr>
                <w:rFonts w:ascii="Arial" w:hAnsi="Arial" w:cs="Arial"/>
                <w:sz w:val="12"/>
                <w:szCs w:val="12"/>
              </w:rPr>
              <w:t> </w:t>
            </w:r>
          </w:p>
        </w:tc>
        <w:tc>
          <w:tcPr>
            <w:tcW w:w="637" w:type="dxa"/>
            <w:tcBorders>
              <w:top w:val="nil"/>
              <w:left w:val="nil"/>
              <w:bottom w:val="nil"/>
              <w:right w:val="nil"/>
            </w:tcBorders>
            <w:shd w:val="clear" w:color="auto" w:fill="auto"/>
            <w:noWrap/>
            <w:vAlign w:val="bottom"/>
            <w:hideMark/>
          </w:tcPr>
          <w:p w:rsidR="00F65F74" w:rsidRPr="00F65F74" w:rsidRDefault="00F65F74">
            <w:pPr>
              <w:rPr>
                <w:rFonts w:ascii="Arial" w:hAnsi="Arial" w:cs="Arial"/>
                <w:sz w:val="12"/>
                <w:szCs w:val="12"/>
              </w:rPr>
            </w:pPr>
          </w:p>
        </w:tc>
        <w:tc>
          <w:tcPr>
            <w:tcW w:w="922" w:type="dxa"/>
            <w:tcBorders>
              <w:top w:val="nil"/>
              <w:left w:val="single" w:sz="4" w:space="0" w:color="auto"/>
              <w:bottom w:val="nil"/>
              <w:right w:val="nil"/>
            </w:tcBorders>
            <w:shd w:val="clear" w:color="auto" w:fill="auto"/>
            <w:noWrap/>
            <w:vAlign w:val="bottom"/>
            <w:hideMark/>
          </w:tcPr>
          <w:p w:rsidR="00F65F74" w:rsidRPr="00F65F74" w:rsidRDefault="00F65F74">
            <w:pPr>
              <w:rPr>
                <w:rFonts w:ascii="Arial" w:hAnsi="Arial" w:cs="Arial"/>
                <w:sz w:val="12"/>
                <w:szCs w:val="12"/>
              </w:rPr>
            </w:pPr>
            <w:r w:rsidRPr="00F65F74">
              <w:rPr>
                <w:rFonts w:ascii="Arial" w:hAnsi="Arial" w:cs="Arial"/>
                <w:sz w:val="12"/>
                <w:szCs w:val="12"/>
              </w:rPr>
              <w:t> </w:t>
            </w:r>
          </w:p>
        </w:tc>
        <w:tc>
          <w:tcPr>
            <w:tcW w:w="717" w:type="dxa"/>
            <w:tcBorders>
              <w:top w:val="nil"/>
              <w:left w:val="nil"/>
              <w:bottom w:val="nil"/>
              <w:right w:val="single" w:sz="12" w:space="0" w:color="auto"/>
            </w:tcBorders>
            <w:shd w:val="clear" w:color="auto" w:fill="auto"/>
            <w:noWrap/>
            <w:vAlign w:val="bottom"/>
            <w:hideMark/>
          </w:tcPr>
          <w:p w:rsidR="00F65F74" w:rsidRPr="00F65F74" w:rsidRDefault="00F65F74">
            <w:pPr>
              <w:rPr>
                <w:rFonts w:ascii="Arial" w:hAnsi="Arial" w:cs="Arial"/>
                <w:sz w:val="12"/>
                <w:szCs w:val="12"/>
              </w:rPr>
            </w:pPr>
            <w:r w:rsidRPr="00F65F74">
              <w:rPr>
                <w:rFonts w:ascii="Arial" w:hAnsi="Arial" w:cs="Arial"/>
                <w:sz w:val="12"/>
                <w:szCs w:val="12"/>
              </w:rPr>
              <w:t> </w:t>
            </w:r>
          </w:p>
        </w:tc>
        <w:tc>
          <w:tcPr>
            <w:tcW w:w="884" w:type="dxa"/>
            <w:tcBorders>
              <w:top w:val="nil"/>
              <w:left w:val="nil"/>
              <w:bottom w:val="nil"/>
              <w:right w:val="nil"/>
            </w:tcBorders>
            <w:shd w:val="clear" w:color="auto" w:fill="auto"/>
            <w:noWrap/>
            <w:vAlign w:val="bottom"/>
            <w:hideMark/>
          </w:tcPr>
          <w:p w:rsidR="00F65F74" w:rsidRPr="00F65F74" w:rsidRDefault="00F65F74">
            <w:pPr>
              <w:rPr>
                <w:rFonts w:ascii="Arial" w:hAnsi="Arial" w:cs="Arial"/>
                <w:sz w:val="12"/>
                <w:szCs w:val="12"/>
              </w:rPr>
            </w:pPr>
            <w:r w:rsidRPr="00F65F74">
              <w:rPr>
                <w:rFonts w:ascii="Arial" w:hAnsi="Arial" w:cs="Arial"/>
                <w:sz w:val="12"/>
                <w:szCs w:val="12"/>
              </w:rPr>
              <w:t> </w:t>
            </w:r>
          </w:p>
        </w:tc>
        <w:tc>
          <w:tcPr>
            <w:tcW w:w="775" w:type="dxa"/>
            <w:tcBorders>
              <w:top w:val="nil"/>
              <w:left w:val="nil"/>
              <w:bottom w:val="nil"/>
              <w:right w:val="single" w:sz="12" w:space="0" w:color="auto"/>
            </w:tcBorders>
            <w:shd w:val="clear" w:color="auto" w:fill="auto"/>
            <w:noWrap/>
            <w:vAlign w:val="bottom"/>
            <w:hideMark/>
          </w:tcPr>
          <w:p w:rsidR="00F65F74" w:rsidRPr="00F65F74" w:rsidRDefault="00F65F74">
            <w:pPr>
              <w:rPr>
                <w:rFonts w:ascii="Arial" w:hAnsi="Arial" w:cs="Arial"/>
                <w:sz w:val="12"/>
                <w:szCs w:val="12"/>
              </w:rPr>
            </w:pPr>
            <w:r w:rsidRPr="00F65F74">
              <w:rPr>
                <w:rFonts w:ascii="Arial" w:hAnsi="Arial" w:cs="Arial"/>
                <w:sz w:val="12"/>
                <w:szCs w:val="12"/>
              </w:rPr>
              <w:t> </w:t>
            </w:r>
          </w:p>
        </w:tc>
        <w:tc>
          <w:tcPr>
            <w:tcW w:w="884" w:type="dxa"/>
            <w:tcBorders>
              <w:top w:val="nil"/>
              <w:left w:val="nil"/>
              <w:bottom w:val="nil"/>
              <w:right w:val="nil"/>
            </w:tcBorders>
            <w:shd w:val="clear" w:color="auto" w:fill="auto"/>
            <w:noWrap/>
            <w:vAlign w:val="bottom"/>
            <w:hideMark/>
          </w:tcPr>
          <w:p w:rsidR="00F65F74" w:rsidRPr="00F65F74" w:rsidRDefault="00F65F74">
            <w:pPr>
              <w:rPr>
                <w:rFonts w:ascii="Arial" w:hAnsi="Arial" w:cs="Arial"/>
                <w:sz w:val="12"/>
                <w:szCs w:val="12"/>
              </w:rPr>
            </w:pPr>
          </w:p>
        </w:tc>
        <w:tc>
          <w:tcPr>
            <w:tcW w:w="675" w:type="dxa"/>
            <w:tcBorders>
              <w:top w:val="nil"/>
              <w:left w:val="nil"/>
              <w:bottom w:val="nil"/>
              <w:right w:val="nil"/>
            </w:tcBorders>
            <w:shd w:val="clear" w:color="auto" w:fill="auto"/>
            <w:noWrap/>
            <w:vAlign w:val="bottom"/>
            <w:hideMark/>
          </w:tcPr>
          <w:p w:rsidR="00F65F74" w:rsidRPr="00F65F74" w:rsidRDefault="00F65F74">
            <w:pPr>
              <w:rPr>
                <w:rFonts w:ascii="Arial" w:hAnsi="Arial" w:cs="Arial"/>
                <w:sz w:val="12"/>
                <w:szCs w:val="12"/>
              </w:rPr>
            </w:pPr>
          </w:p>
        </w:tc>
        <w:tc>
          <w:tcPr>
            <w:tcW w:w="993" w:type="dxa"/>
            <w:tcBorders>
              <w:top w:val="nil"/>
              <w:left w:val="nil"/>
              <w:bottom w:val="nil"/>
              <w:right w:val="nil"/>
            </w:tcBorders>
            <w:shd w:val="clear" w:color="auto" w:fill="auto"/>
            <w:noWrap/>
            <w:vAlign w:val="bottom"/>
            <w:hideMark/>
          </w:tcPr>
          <w:p w:rsidR="00F65F74" w:rsidRPr="00F65F74" w:rsidRDefault="00F65F74">
            <w:pPr>
              <w:rPr>
                <w:rFonts w:ascii="Arial" w:hAnsi="Arial" w:cs="Arial"/>
                <w:sz w:val="12"/>
                <w:szCs w:val="12"/>
              </w:rPr>
            </w:pPr>
          </w:p>
        </w:tc>
        <w:tc>
          <w:tcPr>
            <w:tcW w:w="709" w:type="dxa"/>
            <w:tcBorders>
              <w:top w:val="nil"/>
              <w:left w:val="nil"/>
              <w:bottom w:val="nil"/>
              <w:right w:val="nil"/>
            </w:tcBorders>
            <w:shd w:val="clear" w:color="auto" w:fill="auto"/>
            <w:noWrap/>
            <w:vAlign w:val="bottom"/>
            <w:hideMark/>
          </w:tcPr>
          <w:p w:rsidR="00F65F74" w:rsidRPr="00F65F74" w:rsidRDefault="00F65F74">
            <w:pPr>
              <w:rPr>
                <w:rFonts w:ascii="Arial" w:hAnsi="Arial" w:cs="Arial"/>
                <w:sz w:val="12"/>
                <w:szCs w:val="12"/>
              </w:rPr>
            </w:pPr>
          </w:p>
        </w:tc>
        <w:tc>
          <w:tcPr>
            <w:tcW w:w="992" w:type="dxa"/>
            <w:tcBorders>
              <w:top w:val="nil"/>
              <w:left w:val="nil"/>
              <w:bottom w:val="nil"/>
              <w:right w:val="nil"/>
            </w:tcBorders>
            <w:shd w:val="clear" w:color="auto" w:fill="auto"/>
            <w:noWrap/>
            <w:vAlign w:val="bottom"/>
            <w:hideMark/>
          </w:tcPr>
          <w:p w:rsidR="00F65F74" w:rsidRPr="00F65F74" w:rsidRDefault="00F65F74">
            <w:pPr>
              <w:rPr>
                <w:rFonts w:ascii="Arial" w:hAnsi="Arial" w:cs="Arial"/>
                <w:sz w:val="12"/>
                <w:szCs w:val="12"/>
              </w:rPr>
            </w:pPr>
          </w:p>
        </w:tc>
        <w:tc>
          <w:tcPr>
            <w:tcW w:w="709" w:type="dxa"/>
            <w:tcBorders>
              <w:top w:val="nil"/>
              <w:left w:val="nil"/>
              <w:bottom w:val="nil"/>
              <w:right w:val="nil"/>
            </w:tcBorders>
            <w:shd w:val="clear" w:color="auto" w:fill="auto"/>
            <w:noWrap/>
            <w:vAlign w:val="bottom"/>
            <w:hideMark/>
          </w:tcPr>
          <w:p w:rsidR="00F65F74" w:rsidRPr="00F65F74" w:rsidRDefault="00F65F74">
            <w:pPr>
              <w:rPr>
                <w:rFonts w:ascii="Arial" w:hAnsi="Arial" w:cs="Arial"/>
                <w:sz w:val="12"/>
                <w:szCs w:val="12"/>
              </w:rPr>
            </w:pPr>
          </w:p>
        </w:tc>
        <w:tc>
          <w:tcPr>
            <w:tcW w:w="992" w:type="dxa"/>
            <w:tcBorders>
              <w:top w:val="nil"/>
              <w:left w:val="nil"/>
              <w:bottom w:val="nil"/>
              <w:right w:val="nil"/>
            </w:tcBorders>
            <w:shd w:val="clear" w:color="auto" w:fill="auto"/>
            <w:noWrap/>
            <w:vAlign w:val="bottom"/>
            <w:hideMark/>
          </w:tcPr>
          <w:p w:rsidR="00F65F74" w:rsidRPr="00F65F74" w:rsidRDefault="00F65F74">
            <w:pPr>
              <w:rPr>
                <w:rFonts w:ascii="Arial" w:hAnsi="Arial" w:cs="Arial"/>
                <w:sz w:val="12"/>
                <w:szCs w:val="12"/>
              </w:rPr>
            </w:pPr>
          </w:p>
        </w:tc>
        <w:tc>
          <w:tcPr>
            <w:tcW w:w="709" w:type="dxa"/>
            <w:tcBorders>
              <w:top w:val="nil"/>
              <w:left w:val="nil"/>
              <w:bottom w:val="nil"/>
              <w:right w:val="nil"/>
            </w:tcBorders>
            <w:shd w:val="clear" w:color="auto" w:fill="auto"/>
            <w:noWrap/>
            <w:vAlign w:val="bottom"/>
            <w:hideMark/>
          </w:tcPr>
          <w:p w:rsidR="00F65F74" w:rsidRPr="00F65F74" w:rsidRDefault="00F65F74">
            <w:pPr>
              <w:rPr>
                <w:rFonts w:ascii="Arial" w:hAnsi="Arial" w:cs="Arial"/>
                <w:sz w:val="12"/>
                <w:szCs w:val="12"/>
              </w:rPr>
            </w:pPr>
          </w:p>
        </w:tc>
        <w:tc>
          <w:tcPr>
            <w:tcW w:w="1700" w:type="dxa"/>
            <w:tcBorders>
              <w:top w:val="nil"/>
              <w:left w:val="nil"/>
              <w:bottom w:val="nil"/>
              <w:right w:val="nil"/>
            </w:tcBorders>
            <w:shd w:val="clear" w:color="auto" w:fill="auto"/>
            <w:noWrap/>
            <w:vAlign w:val="bottom"/>
            <w:hideMark/>
          </w:tcPr>
          <w:p w:rsidR="00F65F74" w:rsidRPr="00F65F74" w:rsidRDefault="00F65F74">
            <w:pPr>
              <w:rPr>
                <w:rFonts w:ascii="Arial" w:hAnsi="Arial" w:cs="Arial"/>
                <w:sz w:val="12"/>
                <w:szCs w:val="12"/>
              </w:rPr>
            </w:pPr>
          </w:p>
        </w:tc>
      </w:tr>
      <w:tr w:rsidR="00F65F74" w:rsidRPr="00F65F74" w:rsidTr="00567A1F">
        <w:trPr>
          <w:trHeight w:val="58"/>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F74" w:rsidRPr="00F65F74" w:rsidRDefault="00F65F74">
            <w:pPr>
              <w:rPr>
                <w:rFonts w:ascii="Arial" w:hAnsi="Arial" w:cs="Arial"/>
                <w:b/>
                <w:bCs/>
                <w:sz w:val="12"/>
                <w:szCs w:val="12"/>
              </w:rPr>
            </w:pPr>
            <w:r w:rsidRPr="00F65F74">
              <w:rPr>
                <w:rFonts w:ascii="Arial" w:hAnsi="Arial" w:cs="Arial"/>
                <w:b/>
                <w:bCs/>
                <w:sz w:val="12"/>
                <w:szCs w:val="12"/>
              </w:rPr>
              <w:t>SHORTFALL</w:t>
            </w:r>
          </w:p>
        </w:tc>
        <w:tc>
          <w:tcPr>
            <w:tcW w:w="884"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Projected Budget 2014/15</w:t>
            </w:r>
          </w:p>
        </w:tc>
        <w:tc>
          <w:tcPr>
            <w:tcW w:w="637" w:type="dxa"/>
            <w:tcBorders>
              <w:top w:val="single" w:sz="4" w:space="0" w:color="auto"/>
              <w:left w:val="nil"/>
              <w:bottom w:val="single" w:sz="4" w:space="0" w:color="auto"/>
              <w:right w:val="nil"/>
            </w:tcBorders>
            <w:shd w:val="clear" w:color="000000" w:fill="C4D79B"/>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change</w:t>
            </w:r>
          </w:p>
        </w:tc>
        <w:tc>
          <w:tcPr>
            <w:tcW w:w="922" w:type="dxa"/>
            <w:tcBorders>
              <w:top w:val="single" w:sz="4" w:space="0" w:color="auto"/>
              <w:left w:val="single" w:sz="4" w:space="0" w:color="auto"/>
              <w:bottom w:val="single" w:sz="4" w:space="0" w:color="auto"/>
              <w:right w:val="single" w:sz="4" w:space="0" w:color="auto"/>
            </w:tcBorders>
            <w:shd w:val="clear" w:color="000000" w:fill="FFFF99"/>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Projected Budget 2015/16</w:t>
            </w:r>
          </w:p>
        </w:tc>
        <w:tc>
          <w:tcPr>
            <w:tcW w:w="717" w:type="dxa"/>
            <w:tcBorders>
              <w:top w:val="single" w:sz="4" w:space="0" w:color="auto"/>
              <w:left w:val="nil"/>
              <w:bottom w:val="single" w:sz="4" w:space="0" w:color="auto"/>
              <w:right w:val="single" w:sz="12" w:space="0" w:color="auto"/>
            </w:tcBorders>
            <w:shd w:val="clear" w:color="000000" w:fill="FFFF99"/>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change</w:t>
            </w:r>
          </w:p>
        </w:tc>
        <w:tc>
          <w:tcPr>
            <w:tcW w:w="884" w:type="dxa"/>
            <w:tcBorders>
              <w:top w:val="single" w:sz="4" w:space="0" w:color="auto"/>
              <w:left w:val="nil"/>
              <w:bottom w:val="single" w:sz="4" w:space="0" w:color="auto"/>
              <w:right w:val="single" w:sz="4" w:space="0" w:color="auto"/>
            </w:tcBorders>
            <w:shd w:val="clear" w:color="000000" w:fill="FABF8F"/>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Projected Budget 2016/17</w:t>
            </w:r>
          </w:p>
        </w:tc>
        <w:tc>
          <w:tcPr>
            <w:tcW w:w="775" w:type="dxa"/>
            <w:tcBorders>
              <w:top w:val="single" w:sz="4" w:space="0" w:color="auto"/>
              <w:left w:val="nil"/>
              <w:bottom w:val="single" w:sz="4" w:space="0" w:color="auto"/>
              <w:right w:val="single" w:sz="12" w:space="0" w:color="auto"/>
            </w:tcBorders>
            <w:shd w:val="clear" w:color="000000" w:fill="FABF8F"/>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change</w:t>
            </w:r>
          </w:p>
        </w:tc>
        <w:tc>
          <w:tcPr>
            <w:tcW w:w="884" w:type="dxa"/>
            <w:tcBorders>
              <w:top w:val="single" w:sz="4" w:space="0" w:color="auto"/>
              <w:left w:val="nil"/>
              <w:bottom w:val="single" w:sz="4" w:space="0" w:color="auto"/>
              <w:right w:val="single" w:sz="4" w:space="0" w:color="auto"/>
            </w:tcBorders>
            <w:shd w:val="clear" w:color="000000" w:fill="FF99CC"/>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Projected Budget 2017/18</w:t>
            </w:r>
          </w:p>
        </w:tc>
        <w:tc>
          <w:tcPr>
            <w:tcW w:w="675" w:type="dxa"/>
            <w:tcBorders>
              <w:top w:val="single" w:sz="4" w:space="0" w:color="auto"/>
              <w:left w:val="nil"/>
              <w:bottom w:val="single" w:sz="4" w:space="0" w:color="auto"/>
              <w:right w:val="single" w:sz="4" w:space="0" w:color="auto"/>
            </w:tcBorders>
            <w:shd w:val="clear" w:color="000000" w:fill="FF99CC"/>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change</w:t>
            </w:r>
          </w:p>
        </w:tc>
        <w:tc>
          <w:tcPr>
            <w:tcW w:w="993" w:type="dxa"/>
            <w:tcBorders>
              <w:top w:val="single" w:sz="4" w:space="0" w:color="auto"/>
              <w:left w:val="nil"/>
              <w:bottom w:val="single" w:sz="4" w:space="0" w:color="auto"/>
              <w:right w:val="single" w:sz="4" w:space="0" w:color="auto"/>
            </w:tcBorders>
            <w:shd w:val="clear" w:color="000000" w:fill="99CCFF"/>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Projected Budget 2018/19</w:t>
            </w:r>
          </w:p>
        </w:tc>
        <w:tc>
          <w:tcPr>
            <w:tcW w:w="709" w:type="dxa"/>
            <w:tcBorders>
              <w:top w:val="single" w:sz="4" w:space="0" w:color="auto"/>
              <w:left w:val="nil"/>
              <w:bottom w:val="single" w:sz="4" w:space="0" w:color="auto"/>
              <w:right w:val="single" w:sz="4" w:space="0" w:color="auto"/>
            </w:tcBorders>
            <w:shd w:val="clear" w:color="000000" w:fill="99CCFF"/>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change</w:t>
            </w:r>
          </w:p>
        </w:tc>
        <w:tc>
          <w:tcPr>
            <w:tcW w:w="992" w:type="dxa"/>
            <w:tcBorders>
              <w:top w:val="single" w:sz="4" w:space="0" w:color="auto"/>
              <w:left w:val="nil"/>
              <w:bottom w:val="single" w:sz="4" w:space="0" w:color="auto"/>
              <w:right w:val="single" w:sz="4" w:space="0" w:color="auto"/>
            </w:tcBorders>
            <w:shd w:val="clear" w:color="000000" w:fill="CC99FF"/>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Projected Budget 2019/20</w:t>
            </w:r>
          </w:p>
        </w:tc>
        <w:tc>
          <w:tcPr>
            <w:tcW w:w="709" w:type="dxa"/>
            <w:tcBorders>
              <w:top w:val="single" w:sz="4" w:space="0" w:color="auto"/>
              <w:left w:val="nil"/>
              <w:bottom w:val="single" w:sz="4" w:space="0" w:color="auto"/>
              <w:right w:val="single" w:sz="4" w:space="0" w:color="auto"/>
            </w:tcBorders>
            <w:shd w:val="clear" w:color="000000" w:fill="CC99FF"/>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change</w:t>
            </w:r>
          </w:p>
        </w:tc>
        <w:tc>
          <w:tcPr>
            <w:tcW w:w="992" w:type="dxa"/>
            <w:tcBorders>
              <w:top w:val="single" w:sz="4" w:space="0" w:color="auto"/>
              <w:left w:val="nil"/>
              <w:bottom w:val="single" w:sz="4" w:space="0" w:color="auto"/>
              <w:right w:val="single" w:sz="4" w:space="0" w:color="auto"/>
            </w:tcBorders>
            <w:shd w:val="clear" w:color="000000" w:fill="EBF1DE"/>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Projected Budget 2019/20</w:t>
            </w:r>
          </w:p>
        </w:tc>
        <w:tc>
          <w:tcPr>
            <w:tcW w:w="709" w:type="dxa"/>
            <w:tcBorders>
              <w:top w:val="single" w:sz="4" w:space="0" w:color="auto"/>
              <w:left w:val="nil"/>
              <w:bottom w:val="single" w:sz="4" w:space="0" w:color="auto"/>
              <w:right w:val="single" w:sz="4" w:space="0" w:color="auto"/>
            </w:tcBorders>
            <w:shd w:val="clear" w:color="000000" w:fill="EBF1DE"/>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change</w:t>
            </w:r>
          </w:p>
        </w:tc>
        <w:tc>
          <w:tcPr>
            <w:tcW w:w="1700"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sz w:val="12"/>
                <w:szCs w:val="12"/>
              </w:rPr>
            </w:pPr>
          </w:p>
        </w:tc>
      </w:tr>
      <w:tr w:rsidR="00F65F74" w:rsidRPr="00F65F74" w:rsidTr="00567A1F">
        <w:trPr>
          <w:trHeight w:val="58"/>
        </w:trPr>
        <w:tc>
          <w:tcPr>
            <w:tcW w:w="2694" w:type="dxa"/>
            <w:tcBorders>
              <w:top w:val="nil"/>
              <w:left w:val="nil"/>
              <w:bottom w:val="nil"/>
              <w:right w:val="nil"/>
            </w:tcBorders>
            <w:shd w:val="clear" w:color="auto" w:fill="auto"/>
            <w:vAlign w:val="bottom"/>
            <w:hideMark/>
          </w:tcPr>
          <w:p w:rsidR="00F65F74" w:rsidRPr="00F65F74" w:rsidRDefault="00F65F74">
            <w:pPr>
              <w:rPr>
                <w:rFonts w:ascii="Arial" w:hAnsi="Arial" w:cs="Arial"/>
                <w:sz w:val="12"/>
                <w:szCs w:val="12"/>
              </w:rPr>
            </w:pPr>
            <w:r w:rsidRPr="00F65F74">
              <w:rPr>
                <w:rFonts w:ascii="Arial" w:hAnsi="Arial" w:cs="Arial"/>
                <w:sz w:val="12"/>
                <w:szCs w:val="12"/>
              </w:rPr>
              <w:t>Difference Between Income and Expenditure</w:t>
            </w:r>
          </w:p>
        </w:tc>
        <w:tc>
          <w:tcPr>
            <w:tcW w:w="884" w:type="dxa"/>
            <w:tcBorders>
              <w:top w:val="nil"/>
              <w:left w:val="single" w:sz="4" w:space="0" w:color="auto"/>
              <w:bottom w:val="nil"/>
              <w:right w:val="single" w:sz="4" w:space="0" w:color="auto"/>
            </w:tcBorders>
            <w:shd w:val="clear" w:color="000000" w:fill="C4D79B"/>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£831,316</w:t>
            </w:r>
          </w:p>
        </w:tc>
        <w:tc>
          <w:tcPr>
            <w:tcW w:w="637" w:type="dxa"/>
            <w:tcBorders>
              <w:top w:val="nil"/>
              <w:left w:val="nil"/>
              <w:bottom w:val="nil"/>
              <w:right w:val="nil"/>
            </w:tcBorders>
            <w:shd w:val="clear" w:color="000000" w:fill="C4D79B"/>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14%</w:t>
            </w:r>
          </w:p>
        </w:tc>
        <w:tc>
          <w:tcPr>
            <w:tcW w:w="922" w:type="dxa"/>
            <w:tcBorders>
              <w:top w:val="nil"/>
              <w:left w:val="single" w:sz="4" w:space="0" w:color="auto"/>
              <w:bottom w:val="single" w:sz="4" w:space="0" w:color="auto"/>
              <w:right w:val="single" w:sz="4" w:space="0" w:color="auto"/>
            </w:tcBorders>
            <w:shd w:val="clear" w:color="000000" w:fill="FFFF99"/>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£803,971</w:t>
            </w:r>
          </w:p>
        </w:tc>
        <w:tc>
          <w:tcPr>
            <w:tcW w:w="717" w:type="dxa"/>
            <w:tcBorders>
              <w:top w:val="nil"/>
              <w:left w:val="nil"/>
              <w:bottom w:val="single" w:sz="4" w:space="0" w:color="auto"/>
              <w:right w:val="single" w:sz="12" w:space="0" w:color="auto"/>
            </w:tcBorders>
            <w:shd w:val="clear" w:color="000000" w:fill="FFFF99"/>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-3%</w:t>
            </w:r>
          </w:p>
        </w:tc>
        <w:tc>
          <w:tcPr>
            <w:tcW w:w="884" w:type="dxa"/>
            <w:tcBorders>
              <w:top w:val="nil"/>
              <w:left w:val="nil"/>
              <w:bottom w:val="single" w:sz="4" w:space="0" w:color="auto"/>
              <w:right w:val="single" w:sz="4" w:space="0" w:color="auto"/>
            </w:tcBorders>
            <w:shd w:val="clear" w:color="000000" w:fill="FABF8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£813,226</w:t>
            </w:r>
          </w:p>
        </w:tc>
        <w:tc>
          <w:tcPr>
            <w:tcW w:w="775" w:type="dxa"/>
            <w:tcBorders>
              <w:top w:val="nil"/>
              <w:left w:val="nil"/>
              <w:bottom w:val="single" w:sz="4" w:space="0" w:color="auto"/>
              <w:right w:val="single" w:sz="12" w:space="0" w:color="auto"/>
            </w:tcBorders>
            <w:shd w:val="clear" w:color="000000" w:fill="FABF8F"/>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1%</w:t>
            </w:r>
          </w:p>
        </w:tc>
        <w:tc>
          <w:tcPr>
            <w:tcW w:w="884" w:type="dxa"/>
            <w:tcBorders>
              <w:top w:val="nil"/>
              <w:left w:val="nil"/>
              <w:bottom w:val="single" w:sz="4" w:space="0" w:color="auto"/>
              <w:right w:val="single" w:sz="4" w:space="0" w:color="auto"/>
            </w:tcBorders>
            <w:shd w:val="clear" w:color="000000" w:fill="FF99CC"/>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£855,571</w:t>
            </w:r>
          </w:p>
        </w:tc>
        <w:tc>
          <w:tcPr>
            <w:tcW w:w="675" w:type="dxa"/>
            <w:tcBorders>
              <w:top w:val="nil"/>
              <w:left w:val="nil"/>
              <w:bottom w:val="single" w:sz="4" w:space="0" w:color="auto"/>
              <w:right w:val="single" w:sz="4" w:space="0" w:color="auto"/>
            </w:tcBorders>
            <w:shd w:val="clear" w:color="000000" w:fill="FF99CC"/>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5%</w:t>
            </w:r>
          </w:p>
        </w:tc>
        <w:tc>
          <w:tcPr>
            <w:tcW w:w="993" w:type="dxa"/>
            <w:tcBorders>
              <w:top w:val="nil"/>
              <w:left w:val="nil"/>
              <w:bottom w:val="single" w:sz="4" w:space="0" w:color="auto"/>
              <w:right w:val="single" w:sz="4" w:space="0" w:color="auto"/>
            </w:tcBorders>
            <w:shd w:val="clear" w:color="000000" w:fill="99CC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£824,607</w:t>
            </w:r>
          </w:p>
        </w:tc>
        <w:tc>
          <w:tcPr>
            <w:tcW w:w="709" w:type="dxa"/>
            <w:tcBorders>
              <w:top w:val="nil"/>
              <w:left w:val="nil"/>
              <w:bottom w:val="single" w:sz="4" w:space="0" w:color="auto"/>
              <w:right w:val="single" w:sz="4" w:space="0" w:color="auto"/>
            </w:tcBorders>
            <w:shd w:val="clear" w:color="000000" w:fill="99CCFF"/>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-4%</w:t>
            </w:r>
          </w:p>
        </w:tc>
        <w:tc>
          <w:tcPr>
            <w:tcW w:w="992" w:type="dxa"/>
            <w:tcBorders>
              <w:top w:val="nil"/>
              <w:left w:val="nil"/>
              <w:bottom w:val="single" w:sz="4" w:space="0" w:color="auto"/>
              <w:right w:val="single" w:sz="4" w:space="0" w:color="auto"/>
            </w:tcBorders>
            <w:shd w:val="clear" w:color="000000" w:fill="CC99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£851,574</w:t>
            </w:r>
          </w:p>
        </w:tc>
        <w:tc>
          <w:tcPr>
            <w:tcW w:w="709" w:type="dxa"/>
            <w:tcBorders>
              <w:top w:val="nil"/>
              <w:left w:val="nil"/>
              <w:bottom w:val="single" w:sz="4" w:space="0" w:color="auto"/>
              <w:right w:val="single" w:sz="4" w:space="0" w:color="auto"/>
            </w:tcBorders>
            <w:shd w:val="clear" w:color="000000" w:fill="CC99FF"/>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3%</w:t>
            </w:r>
          </w:p>
        </w:tc>
        <w:tc>
          <w:tcPr>
            <w:tcW w:w="992" w:type="dxa"/>
            <w:tcBorders>
              <w:top w:val="nil"/>
              <w:left w:val="nil"/>
              <w:bottom w:val="single" w:sz="4" w:space="0" w:color="auto"/>
              <w:right w:val="single" w:sz="4" w:space="0" w:color="auto"/>
            </w:tcBorders>
            <w:shd w:val="clear" w:color="000000" w:fill="EBF1DE"/>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£867,551</w:t>
            </w:r>
          </w:p>
        </w:tc>
        <w:tc>
          <w:tcPr>
            <w:tcW w:w="709" w:type="dxa"/>
            <w:tcBorders>
              <w:top w:val="nil"/>
              <w:left w:val="nil"/>
              <w:bottom w:val="single" w:sz="4" w:space="0" w:color="auto"/>
              <w:right w:val="single" w:sz="4" w:space="0" w:color="auto"/>
            </w:tcBorders>
            <w:shd w:val="clear" w:color="000000" w:fill="EBF1DE"/>
            <w:noWrap/>
            <w:vAlign w:val="bottom"/>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2%</w:t>
            </w:r>
          </w:p>
        </w:tc>
        <w:tc>
          <w:tcPr>
            <w:tcW w:w="1700"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color w:val="000000"/>
                <w:sz w:val="12"/>
                <w:szCs w:val="12"/>
              </w:rPr>
            </w:pPr>
          </w:p>
        </w:tc>
      </w:tr>
      <w:tr w:rsidR="00F65F74" w:rsidRPr="00F65F74" w:rsidTr="00567A1F">
        <w:trPr>
          <w:trHeight w:val="58"/>
        </w:trPr>
        <w:tc>
          <w:tcPr>
            <w:tcW w:w="2694" w:type="dxa"/>
            <w:tcBorders>
              <w:top w:val="nil"/>
              <w:left w:val="nil"/>
              <w:bottom w:val="nil"/>
              <w:right w:val="nil"/>
            </w:tcBorders>
            <w:shd w:val="clear" w:color="auto" w:fill="auto"/>
            <w:noWrap/>
            <w:vAlign w:val="bottom"/>
            <w:hideMark/>
          </w:tcPr>
          <w:p w:rsidR="00F65F74" w:rsidRPr="00F65F74" w:rsidRDefault="00F65F74">
            <w:pPr>
              <w:rPr>
                <w:rFonts w:ascii="Arial" w:hAnsi="Arial" w:cs="Arial"/>
                <w:b/>
                <w:bCs/>
                <w:sz w:val="12"/>
                <w:szCs w:val="12"/>
              </w:rPr>
            </w:pPr>
            <w:r w:rsidRPr="00F65F74">
              <w:rPr>
                <w:rFonts w:ascii="Arial" w:hAnsi="Arial" w:cs="Arial"/>
                <w:b/>
                <w:bCs/>
                <w:sz w:val="12"/>
                <w:szCs w:val="12"/>
              </w:rPr>
              <w:t>LESS/PLUS:</w:t>
            </w:r>
          </w:p>
        </w:tc>
        <w:tc>
          <w:tcPr>
            <w:tcW w:w="884" w:type="dxa"/>
            <w:tcBorders>
              <w:top w:val="single" w:sz="4" w:space="0" w:color="auto"/>
              <w:left w:val="single" w:sz="4" w:space="0" w:color="auto"/>
              <w:bottom w:val="nil"/>
              <w:right w:val="nil"/>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637" w:type="dxa"/>
            <w:tcBorders>
              <w:top w:val="single" w:sz="4" w:space="0" w:color="auto"/>
              <w:left w:val="nil"/>
              <w:bottom w:val="nil"/>
              <w:right w:val="nil"/>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922" w:type="dxa"/>
            <w:tcBorders>
              <w:top w:val="nil"/>
              <w:left w:val="single" w:sz="4" w:space="0" w:color="auto"/>
              <w:bottom w:val="nil"/>
              <w:right w:val="nil"/>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717" w:type="dxa"/>
            <w:tcBorders>
              <w:top w:val="nil"/>
              <w:left w:val="nil"/>
              <w:bottom w:val="nil"/>
              <w:right w:val="single" w:sz="12" w:space="0" w:color="auto"/>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884" w:type="dxa"/>
            <w:tcBorders>
              <w:top w:val="nil"/>
              <w:left w:val="nil"/>
              <w:bottom w:val="nil"/>
              <w:right w:val="nil"/>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775" w:type="dxa"/>
            <w:tcBorders>
              <w:top w:val="nil"/>
              <w:left w:val="nil"/>
              <w:bottom w:val="nil"/>
              <w:right w:val="single" w:sz="12" w:space="0" w:color="auto"/>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884" w:type="dxa"/>
            <w:tcBorders>
              <w:top w:val="nil"/>
              <w:left w:val="nil"/>
              <w:bottom w:val="nil"/>
              <w:right w:val="nil"/>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675" w:type="dxa"/>
            <w:tcBorders>
              <w:top w:val="nil"/>
              <w:left w:val="nil"/>
              <w:bottom w:val="nil"/>
              <w:right w:val="nil"/>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993" w:type="dxa"/>
            <w:tcBorders>
              <w:top w:val="nil"/>
              <w:left w:val="nil"/>
              <w:bottom w:val="nil"/>
              <w:right w:val="nil"/>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709" w:type="dxa"/>
            <w:tcBorders>
              <w:top w:val="nil"/>
              <w:left w:val="nil"/>
              <w:bottom w:val="nil"/>
              <w:right w:val="nil"/>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992" w:type="dxa"/>
            <w:tcBorders>
              <w:top w:val="nil"/>
              <w:left w:val="nil"/>
              <w:bottom w:val="nil"/>
              <w:right w:val="nil"/>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709" w:type="dxa"/>
            <w:tcBorders>
              <w:top w:val="nil"/>
              <w:left w:val="nil"/>
              <w:bottom w:val="nil"/>
              <w:right w:val="nil"/>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992" w:type="dxa"/>
            <w:tcBorders>
              <w:top w:val="nil"/>
              <w:left w:val="nil"/>
              <w:bottom w:val="nil"/>
              <w:right w:val="nil"/>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709" w:type="dxa"/>
            <w:tcBorders>
              <w:top w:val="nil"/>
              <w:left w:val="nil"/>
              <w:bottom w:val="nil"/>
              <w:right w:val="nil"/>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1700"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sz w:val="12"/>
                <w:szCs w:val="12"/>
              </w:rPr>
            </w:pPr>
          </w:p>
        </w:tc>
      </w:tr>
      <w:tr w:rsidR="00F65F74" w:rsidRPr="00F65F74" w:rsidTr="00567A1F">
        <w:trPr>
          <w:trHeight w:val="72"/>
        </w:trPr>
        <w:tc>
          <w:tcPr>
            <w:tcW w:w="2694" w:type="dxa"/>
            <w:tcBorders>
              <w:top w:val="nil"/>
              <w:left w:val="nil"/>
              <w:bottom w:val="nil"/>
              <w:right w:val="nil"/>
            </w:tcBorders>
            <w:shd w:val="clear" w:color="auto" w:fill="auto"/>
            <w:vAlign w:val="bottom"/>
            <w:hideMark/>
          </w:tcPr>
          <w:p w:rsidR="00F65F74" w:rsidRPr="00F65F74" w:rsidRDefault="00F65F74">
            <w:pPr>
              <w:rPr>
                <w:rFonts w:ascii="Arial" w:hAnsi="Arial" w:cs="Arial"/>
                <w:b/>
                <w:bCs/>
                <w:sz w:val="12"/>
                <w:szCs w:val="12"/>
              </w:rPr>
            </w:pPr>
            <w:r w:rsidRPr="00F65F74">
              <w:rPr>
                <w:rFonts w:ascii="Arial" w:hAnsi="Arial" w:cs="Arial"/>
                <w:b/>
                <w:bCs/>
                <w:sz w:val="12"/>
                <w:szCs w:val="12"/>
              </w:rPr>
              <w:t>Previous confirmed year end C/</w:t>
            </w:r>
            <w:proofErr w:type="spellStart"/>
            <w:r w:rsidRPr="00F65F74">
              <w:rPr>
                <w:rFonts w:ascii="Arial" w:hAnsi="Arial" w:cs="Arial"/>
                <w:b/>
                <w:bCs/>
                <w:sz w:val="12"/>
                <w:szCs w:val="12"/>
              </w:rPr>
              <w:t>fwd</w:t>
            </w:r>
            <w:proofErr w:type="spellEnd"/>
          </w:p>
        </w:tc>
        <w:tc>
          <w:tcPr>
            <w:tcW w:w="884" w:type="dxa"/>
            <w:tcBorders>
              <w:top w:val="nil"/>
              <w:left w:val="single" w:sz="4" w:space="0" w:color="auto"/>
              <w:bottom w:val="nil"/>
              <w:right w:val="nil"/>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637" w:type="dxa"/>
            <w:tcBorders>
              <w:top w:val="nil"/>
              <w:left w:val="nil"/>
              <w:bottom w:val="nil"/>
              <w:right w:val="nil"/>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922" w:type="dxa"/>
            <w:tcBorders>
              <w:top w:val="nil"/>
              <w:left w:val="single" w:sz="4" w:space="0" w:color="auto"/>
              <w:bottom w:val="nil"/>
              <w:right w:val="nil"/>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717" w:type="dxa"/>
            <w:tcBorders>
              <w:top w:val="nil"/>
              <w:left w:val="nil"/>
              <w:bottom w:val="nil"/>
              <w:right w:val="single" w:sz="12" w:space="0" w:color="auto"/>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884" w:type="dxa"/>
            <w:tcBorders>
              <w:top w:val="nil"/>
              <w:left w:val="nil"/>
              <w:bottom w:val="nil"/>
              <w:right w:val="nil"/>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775" w:type="dxa"/>
            <w:tcBorders>
              <w:top w:val="nil"/>
              <w:left w:val="nil"/>
              <w:bottom w:val="nil"/>
              <w:right w:val="single" w:sz="12" w:space="0" w:color="auto"/>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884" w:type="dxa"/>
            <w:tcBorders>
              <w:top w:val="nil"/>
              <w:left w:val="nil"/>
              <w:bottom w:val="nil"/>
              <w:right w:val="nil"/>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675" w:type="dxa"/>
            <w:tcBorders>
              <w:top w:val="nil"/>
              <w:left w:val="nil"/>
              <w:bottom w:val="nil"/>
              <w:right w:val="nil"/>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993" w:type="dxa"/>
            <w:tcBorders>
              <w:top w:val="nil"/>
              <w:left w:val="nil"/>
              <w:bottom w:val="nil"/>
              <w:right w:val="nil"/>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709" w:type="dxa"/>
            <w:tcBorders>
              <w:top w:val="nil"/>
              <w:left w:val="nil"/>
              <w:bottom w:val="nil"/>
              <w:right w:val="nil"/>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992" w:type="dxa"/>
            <w:tcBorders>
              <w:top w:val="nil"/>
              <w:left w:val="nil"/>
              <w:bottom w:val="nil"/>
              <w:right w:val="nil"/>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709" w:type="dxa"/>
            <w:tcBorders>
              <w:top w:val="nil"/>
              <w:left w:val="nil"/>
              <w:bottom w:val="nil"/>
              <w:right w:val="nil"/>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992" w:type="dxa"/>
            <w:tcBorders>
              <w:top w:val="nil"/>
              <w:left w:val="nil"/>
              <w:bottom w:val="nil"/>
              <w:right w:val="nil"/>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709" w:type="dxa"/>
            <w:tcBorders>
              <w:top w:val="nil"/>
              <w:left w:val="nil"/>
              <w:bottom w:val="nil"/>
              <w:right w:val="nil"/>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1700"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sz w:val="12"/>
                <w:szCs w:val="12"/>
              </w:rPr>
            </w:pPr>
          </w:p>
        </w:tc>
      </w:tr>
      <w:tr w:rsidR="00F65F74" w:rsidRPr="00F65F74" w:rsidTr="00567A1F">
        <w:trPr>
          <w:trHeight w:val="58"/>
        </w:trPr>
        <w:tc>
          <w:tcPr>
            <w:tcW w:w="2694" w:type="dxa"/>
            <w:tcBorders>
              <w:top w:val="nil"/>
              <w:left w:val="nil"/>
              <w:bottom w:val="nil"/>
              <w:right w:val="nil"/>
            </w:tcBorders>
            <w:shd w:val="clear" w:color="auto" w:fill="auto"/>
            <w:vAlign w:val="bottom"/>
            <w:hideMark/>
          </w:tcPr>
          <w:p w:rsidR="00F65F74" w:rsidRPr="00F65F74" w:rsidRDefault="00F65F74">
            <w:pPr>
              <w:rPr>
                <w:rFonts w:ascii="Arial" w:hAnsi="Arial" w:cs="Arial"/>
                <w:b/>
                <w:bCs/>
                <w:color w:val="000000"/>
                <w:sz w:val="12"/>
                <w:szCs w:val="12"/>
              </w:rPr>
            </w:pPr>
            <w:r w:rsidRPr="00F65F74">
              <w:rPr>
                <w:rFonts w:ascii="Arial" w:hAnsi="Arial" w:cs="Arial"/>
                <w:b/>
                <w:bCs/>
                <w:color w:val="FF0000"/>
                <w:sz w:val="12"/>
                <w:szCs w:val="12"/>
              </w:rPr>
              <w:t>Confirmed</w:t>
            </w:r>
            <w:r w:rsidRPr="00F65F74">
              <w:rPr>
                <w:rFonts w:ascii="Arial" w:hAnsi="Arial" w:cs="Arial"/>
                <w:b/>
                <w:bCs/>
                <w:color w:val="000000"/>
                <w:sz w:val="12"/>
                <w:szCs w:val="12"/>
              </w:rPr>
              <w:t xml:space="preserve">/Estimated Previous Year End Balance C/FWD </w:t>
            </w:r>
          </w:p>
        </w:tc>
        <w:tc>
          <w:tcPr>
            <w:tcW w:w="884" w:type="dxa"/>
            <w:tcBorders>
              <w:top w:val="single" w:sz="4" w:space="0" w:color="auto"/>
              <w:left w:val="nil"/>
              <w:bottom w:val="nil"/>
              <w:right w:val="single" w:sz="4" w:space="0" w:color="auto"/>
            </w:tcBorders>
            <w:shd w:val="clear" w:color="000000" w:fill="FF3737"/>
            <w:noWrap/>
            <w:vAlign w:val="bottom"/>
            <w:hideMark/>
          </w:tcPr>
          <w:p w:rsidR="00F65F74" w:rsidRPr="00F65F74" w:rsidRDefault="00F65F74">
            <w:pPr>
              <w:jc w:val="center"/>
              <w:rPr>
                <w:rFonts w:ascii="Arial" w:hAnsi="Arial" w:cs="Arial"/>
                <w:b/>
                <w:bCs/>
                <w:color w:val="000000"/>
                <w:sz w:val="12"/>
                <w:szCs w:val="12"/>
              </w:rPr>
            </w:pPr>
            <w:r w:rsidRPr="00F65F74">
              <w:rPr>
                <w:rFonts w:ascii="Arial" w:hAnsi="Arial" w:cs="Arial"/>
                <w:b/>
                <w:bCs/>
                <w:color w:val="000000"/>
                <w:sz w:val="12"/>
                <w:szCs w:val="12"/>
              </w:rPr>
              <w:t>£65,323.53</w:t>
            </w:r>
          </w:p>
        </w:tc>
        <w:tc>
          <w:tcPr>
            <w:tcW w:w="637" w:type="dxa"/>
            <w:tcBorders>
              <w:top w:val="nil"/>
              <w:left w:val="nil"/>
              <w:bottom w:val="nil"/>
              <w:right w:val="nil"/>
            </w:tcBorders>
            <w:shd w:val="clear" w:color="000000" w:fill="FFFFFF"/>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922" w:type="dxa"/>
            <w:tcBorders>
              <w:top w:val="single" w:sz="4" w:space="0" w:color="auto"/>
              <w:left w:val="single" w:sz="4" w:space="0" w:color="auto"/>
              <w:bottom w:val="nil"/>
              <w:right w:val="single" w:sz="4" w:space="0" w:color="auto"/>
            </w:tcBorders>
            <w:shd w:val="clear" w:color="000000" w:fill="FF3737"/>
            <w:noWrap/>
            <w:vAlign w:val="bottom"/>
            <w:hideMark/>
          </w:tcPr>
          <w:p w:rsidR="00F65F74" w:rsidRPr="00F65F74" w:rsidRDefault="00F65F74">
            <w:pPr>
              <w:jc w:val="center"/>
              <w:rPr>
                <w:rFonts w:ascii="Arial" w:hAnsi="Arial" w:cs="Arial"/>
                <w:b/>
                <w:bCs/>
                <w:color w:val="000000"/>
                <w:sz w:val="12"/>
                <w:szCs w:val="12"/>
              </w:rPr>
            </w:pPr>
            <w:r w:rsidRPr="00F65F74">
              <w:rPr>
                <w:rFonts w:ascii="Arial" w:hAnsi="Arial" w:cs="Arial"/>
                <w:b/>
                <w:bCs/>
                <w:color w:val="000000"/>
                <w:sz w:val="12"/>
                <w:szCs w:val="12"/>
              </w:rPr>
              <w:t>£43,845.34</w:t>
            </w:r>
          </w:p>
        </w:tc>
        <w:tc>
          <w:tcPr>
            <w:tcW w:w="717" w:type="dxa"/>
            <w:tcBorders>
              <w:top w:val="nil"/>
              <w:left w:val="nil"/>
              <w:bottom w:val="nil"/>
              <w:right w:val="single" w:sz="12" w:space="0" w:color="auto"/>
            </w:tcBorders>
            <w:shd w:val="clear" w:color="000000" w:fill="FFFFFF"/>
            <w:noWrap/>
            <w:vAlign w:val="bottom"/>
            <w:hideMark/>
          </w:tcPr>
          <w:p w:rsidR="00F65F74" w:rsidRPr="00F65F74" w:rsidRDefault="00F65F74">
            <w:pPr>
              <w:jc w:val="center"/>
              <w:rPr>
                <w:rFonts w:ascii="Arial" w:hAnsi="Arial" w:cs="Arial"/>
                <w:b/>
                <w:bCs/>
                <w:color w:val="FF0000"/>
                <w:sz w:val="12"/>
                <w:szCs w:val="12"/>
              </w:rPr>
            </w:pPr>
            <w:r w:rsidRPr="00F65F74">
              <w:rPr>
                <w:rFonts w:ascii="Arial" w:hAnsi="Arial" w:cs="Arial"/>
                <w:b/>
                <w:bCs/>
                <w:color w:val="FF0000"/>
                <w:sz w:val="12"/>
                <w:szCs w:val="12"/>
              </w:rPr>
              <w:t> </w:t>
            </w:r>
          </w:p>
        </w:tc>
        <w:tc>
          <w:tcPr>
            <w:tcW w:w="884" w:type="dxa"/>
            <w:tcBorders>
              <w:top w:val="single" w:sz="4" w:space="0" w:color="auto"/>
              <w:left w:val="nil"/>
              <w:bottom w:val="nil"/>
              <w:right w:val="single" w:sz="4" w:space="0" w:color="auto"/>
            </w:tcBorders>
            <w:shd w:val="clear" w:color="000000" w:fill="FABF8F"/>
            <w:noWrap/>
            <w:vAlign w:val="bottom"/>
            <w:hideMark/>
          </w:tcPr>
          <w:p w:rsidR="00F65F74" w:rsidRPr="00F65F74" w:rsidRDefault="00F65F74">
            <w:pPr>
              <w:jc w:val="center"/>
              <w:rPr>
                <w:rFonts w:ascii="Arial" w:hAnsi="Arial" w:cs="Arial"/>
                <w:b/>
                <w:bCs/>
                <w:color w:val="000000"/>
                <w:sz w:val="12"/>
                <w:szCs w:val="12"/>
              </w:rPr>
            </w:pPr>
            <w:r w:rsidRPr="00F65F74">
              <w:rPr>
                <w:rFonts w:ascii="Arial" w:hAnsi="Arial" w:cs="Arial"/>
                <w:b/>
                <w:bCs/>
                <w:color w:val="000000"/>
                <w:sz w:val="12"/>
                <w:szCs w:val="12"/>
              </w:rPr>
              <w:t>£53,557.35</w:t>
            </w:r>
          </w:p>
        </w:tc>
        <w:tc>
          <w:tcPr>
            <w:tcW w:w="775" w:type="dxa"/>
            <w:tcBorders>
              <w:top w:val="nil"/>
              <w:left w:val="nil"/>
              <w:bottom w:val="nil"/>
              <w:right w:val="single" w:sz="12" w:space="0" w:color="auto"/>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884" w:type="dxa"/>
            <w:tcBorders>
              <w:top w:val="single" w:sz="4" w:space="0" w:color="auto"/>
              <w:left w:val="nil"/>
              <w:bottom w:val="nil"/>
              <w:right w:val="single" w:sz="4" w:space="0" w:color="auto"/>
            </w:tcBorders>
            <w:shd w:val="clear" w:color="000000" w:fill="FF99CC"/>
            <w:noWrap/>
            <w:vAlign w:val="bottom"/>
            <w:hideMark/>
          </w:tcPr>
          <w:p w:rsidR="00F65F74" w:rsidRPr="00F65F74" w:rsidRDefault="00F65F74">
            <w:pPr>
              <w:jc w:val="center"/>
              <w:rPr>
                <w:rFonts w:ascii="Arial" w:hAnsi="Arial" w:cs="Arial"/>
                <w:b/>
                <w:bCs/>
                <w:color w:val="000000"/>
                <w:sz w:val="12"/>
                <w:szCs w:val="12"/>
              </w:rPr>
            </w:pPr>
            <w:r w:rsidRPr="00F65F74">
              <w:rPr>
                <w:rFonts w:ascii="Arial" w:hAnsi="Arial" w:cs="Arial"/>
                <w:b/>
                <w:bCs/>
                <w:color w:val="000000"/>
                <w:sz w:val="12"/>
                <w:szCs w:val="12"/>
              </w:rPr>
              <w:t>£54,400.66</w:t>
            </w:r>
          </w:p>
        </w:tc>
        <w:tc>
          <w:tcPr>
            <w:tcW w:w="675" w:type="dxa"/>
            <w:tcBorders>
              <w:top w:val="nil"/>
              <w:left w:val="nil"/>
              <w:bottom w:val="nil"/>
              <w:right w:val="nil"/>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993" w:type="dxa"/>
            <w:tcBorders>
              <w:top w:val="single" w:sz="4" w:space="0" w:color="auto"/>
              <w:left w:val="single" w:sz="4" w:space="0" w:color="auto"/>
              <w:bottom w:val="nil"/>
              <w:right w:val="single" w:sz="4" w:space="0" w:color="auto"/>
            </w:tcBorders>
            <w:shd w:val="clear" w:color="000000" w:fill="99CCFF"/>
            <w:noWrap/>
            <w:vAlign w:val="bottom"/>
            <w:hideMark/>
          </w:tcPr>
          <w:p w:rsidR="00F65F74" w:rsidRPr="00F65F74" w:rsidRDefault="00F65F74">
            <w:pPr>
              <w:jc w:val="center"/>
              <w:rPr>
                <w:rFonts w:ascii="Arial" w:hAnsi="Arial" w:cs="Arial"/>
                <w:b/>
                <w:bCs/>
                <w:color w:val="000000"/>
                <w:sz w:val="12"/>
                <w:szCs w:val="12"/>
              </w:rPr>
            </w:pPr>
            <w:r w:rsidRPr="00F65F74">
              <w:rPr>
                <w:rFonts w:ascii="Arial" w:hAnsi="Arial" w:cs="Arial"/>
                <w:b/>
                <w:bCs/>
                <w:color w:val="000000"/>
                <w:sz w:val="12"/>
                <w:szCs w:val="12"/>
              </w:rPr>
              <w:t>£19,859.67</w:t>
            </w:r>
          </w:p>
        </w:tc>
        <w:tc>
          <w:tcPr>
            <w:tcW w:w="709" w:type="dxa"/>
            <w:tcBorders>
              <w:top w:val="nil"/>
              <w:left w:val="nil"/>
              <w:bottom w:val="nil"/>
              <w:right w:val="nil"/>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992" w:type="dxa"/>
            <w:tcBorders>
              <w:top w:val="single" w:sz="4" w:space="0" w:color="auto"/>
              <w:left w:val="single" w:sz="4" w:space="0" w:color="auto"/>
              <w:bottom w:val="nil"/>
              <w:right w:val="single" w:sz="4" w:space="0" w:color="auto"/>
            </w:tcBorders>
            <w:shd w:val="clear" w:color="000000" w:fill="CC99FF"/>
            <w:noWrap/>
            <w:vAlign w:val="bottom"/>
            <w:hideMark/>
          </w:tcPr>
          <w:p w:rsidR="00F65F74" w:rsidRPr="00F65F74" w:rsidRDefault="00F65F74">
            <w:pPr>
              <w:jc w:val="center"/>
              <w:rPr>
                <w:rFonts w:ascii="Arial" w:hAnsi="Arial" w:cs="Arial"/>
                <w:b/>
                <w:bCs/>
                <w:color w:val="000000"/>
                <w:sz w:val="12"/>
                <w:szCs w:val="12"/>
              </w:rPr>
            </w:pPr>
            <w:r w:rsidRPr="00F65F74">
              <w:rPr>
                <w:rFonts w:ascii="Arial" w:hAnsi="Arial" w:cs="Arial"/>
                <w:b/>
                <w:bCs/>
                <w:color w:val="000000"/>
                <w:sz w:val="12"/>
                <w:szCs w:val="12"/>
              </w:rPr>
              <w:t>£29,991.43</w:t>
            </w:r>
          </w:p>
        </w:tc>
        <w:tc>
          <w:tcPr>
            <w:tcW w:w="709" w:type="dxa"/>
            <w:tcBorders>
              <w:top w:val="nil"/>
              <w:left w:val="nil"/>
              <w:bottom w:val="nil"/>
              <w:right w:val="nil"/>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992" w:type="dxa"/>
            <w:tcBorders>
              <w:top w:val="single" w:sz="4" w:space="0" w:color="auto"/>
              <w:left w:val="single" w:sz="4" w:space="0" w:color="auto"/>
              <w:bottom w:val="nil"/>
              <w:right w:val="single" w:sz="4" w:space="0" w:color="auto"/>
            </w:tcBorders>
            <w:shd w:val="clear" w:color="000000" w:fill="EBF1DE"/>
            <w:noWrap/>
            <w:vAlign w:val="bottom"/>
            <w:hideMark/>
          </w:tcPr>
          <w:p w:rsidR="00F65F74" w:rsidRPr="00F65F74" w:rsidRDefault="00F65F74">
            <w:pPr>
              <w:jc w:val="center"/>
              <w:rPr>
                <w:rFonts w:ascii="Arial" w:hAnsi="Arial" w:cs="Arial"/>
                <w:b/>
                <w:bCs/>
                <w:color w:val="000000"/>
                <w:sz w:val="12"/>
                <w:szCs w:val="12"/>
              </w:rPr>
            </w:pPr>
            <w:r w:rsidRPr="00F65F74">
              <w:rPr>
                <w:rFonts w:ascii="Arial" w:hAnsi="Arial" w:cs="Arial"/>
                <w:b/>
                <w:bCs/>
                <w:color w:val="000000"/>
                <w:sz w:val="12"/>
                <w:szCs w:val="12"/>
              </w:rPr>
              <w:t>£28,247.96</w:t>
            </w:r>
          </w:p>
        </w:tc>
        <w:tc>
          <w:tcPr>
            <w:tcW w:w="709" w:type="dxa"/>
            <w:tcBorders>
              <w:top w:val="nil"/>
              <w:left w:val="nil"/>
              <w:bottom w:val="nil"/>
              <w:right w:val="nil"/>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1700"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sz w:val="12"/>
                <w:szCs w:val="12"/>
              </w:rPr>
            </w:pPr>
          </w:p>
        </w:tc>
      </w:tr>
      <w:tr w:rsidR="00F65F74" w:rsidRPr="00F65F74" w:rsidTr="00567A1F">
        <w:trPr>
          <w:trHeight w:val="58"/>
        </w:trPr>
        <w:tc>
          <w:tcPr>
            <w:tcW w:w="2694" w:type="dxa"/>
            <w:tcBorders>
              <w:top w:val="nil"/>
              <w:left w:val="nil"/>
              <w:bottom w:val="nil"/>
              <w:right w:val="nil"/>
            </w:tcBorders>
            <w:shd w:val="clear" w:color="auto" w:fill="auto"/>
            <w:noWrap/>
            <w:vAlign w:val="bottom"/>
            <w:hideMark/>
          </w:tcPr>
          <w:p w:rsidR="00F65F74" w:rsidRPr="00F65F74" w:rsidRDefault="00F65F74">
            <w:pPr>
              <w:rPr>
                <w:rFonts w:ascii="Arial" w:hAnsi="Arial" w:cs="Arial"/>
                <w:sz w:val="12"/>
                <w:szCs w:val="12"/>
              </w:rPr>
            </w:pPr>
            <w:r w:rsidRPr="00F65F74">
              <w:rPr>
                <w:rFonts w:ascii="Arial" w:hAnsi="Arial" w:cs="Arial"/>
                <w:sz w:val="12"/>
                <w:szCs w:val="12"/>
              </w:rPr>
              <w:t>Full Budget Funding Shortfall</w:t>
            </w:r>
          </w:p>
        </w:tc>
        <w:tc>
          <w:tcPr>
            <w:tcW w:w="884" w:type="dxa"/>
            <w:tcBorders>
              <w:top w:val="single" w:sz="4" w:space="0" w:color="auto"/>
              <w:left w:val="single" w:sz="4" w:space="0" w:color="auto"/>
              <w:bottom w:val="nil"/>
              <w:right w:val="single" w:sz="4" w:space="0" w:color="auto"/>
            </w:tcBorders>
            <w:shd w:val="clear" w:color="000000" w:fill="C4D79B"/>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£765,992.66</w:t>
            </w:r>
          </w:p>
        </w:tc>
        <w:tc>
          <w:tcPr>
            <w:tcW w:w="637" w:type="dxa"/>
            <w:tcBorders>
              <w:top w:val="nil"/>
              <w:left w:val="nil"/>
              <w:bottom w:val="nil"/>
              <w:right w:val="nil"/>
            </w:tcBorders>
            <w:shd w:val="clear" w:color="000000" w:fill="FFFFFF"/>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922" w:type="dxa"/>
            <w:tcBorders>
              <w:top w:val="single" w:sz="4" w:space="0" w:color="auto"/>
              <w:left w:val="single" w:sz="4" w:space="0" w:color="auto"/>
              <w:bottom w:val="nil"/>
              <w:right w:val="single" w:sz="4" w:space="0" w:color="auto"/>
            </w:tcBorders>
            <w:shd w:val="clear" w:color="000000" w:fill="FFFF99"/>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£760,125.65</w:t>
            </w:r>
          </w:p>
        </w:tc>
        <w:tc>
          <w:tcPr>
            <w:tcW w:w="717" w:type="dxa"/>
            <w:tcBorders>
              <w:top w:val="nil"/>
              <w:left w:val="nil"/>
              <w:bottom w:val="nil"/>
              <w:right w:val="single" w:sz="12" w:space="0" w:color="auto"/>
            </w:tcBorders>
            <w:shd w:val="clear" w:color="000000" w:fill="FFFFFF"/>
            <w:noWrap/>
            <w:vAlign w:val="bottom"/>
            <w:hideMark/>
          </w:tcPr>
          <w:p w:rsidR="00F65F74" w:rsidRPr="00F65F74" w:rsidRDefault="00F65F74">
            <w:pPr>
              <w:jc w:val="center"/>
              <w:rPr>
                <w:rFonts w:ascii="Arial" w:hAnsi="Arial" w:cs="Arial"/>
                <w:b/>
                <w:bCs/>
                <w:color w:val="FF0000"/>
                <w:sz w:val="12"/>
                <w:szCs w:val="12"/>
              </w:rPr>
            </w:pPr>
            <w:r w:rsidRPr="00F65F74">
              <w:rPr>
                <w:rFonts w:ascii="Arial" w:hAnsi="Arial" w:cs="Arial"/>
                <w:b/>
                <w:bCs/>
                <w:color w:val="FF0000"/>
                <w:sz w:val="12"/>
                <w:szCs w:val="12"/>
              </w:rPr>
              <w:t> </w:t>
            </w:r>
          </w:p>
        </w:tc>
        <w:tc>
          <w:tcPr>
            <w:tcW w:w="884" w:type="dxa"/>
            <w:tcBorders>
              <w:top w:val="single" w:sz="4" w:space="0" w:color="auto"/>
              <w:left w:val="nil"/>
              <w:bottom w:val="nil"/>
              <w:right w:val="single" w:sz="4" w:space="0" w:color="auto"/>
            </w:tcBorders>
            <w:shd w:val="clear" w:color="000000" w:fill="FABF8F"/>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£759,668.34</w:t>
            </w:r>
          </w:p>
        </w:tc>
        <w:tc>
          <w:tcPr>
            <w:tcW w:w="775" w:type="dxa"/>
            <w:tcBorders>
              <w:top w:val="nil"/>
              <w:left w:val="nil"/>
              <w:bottom w:val="nil"/>
              <w:right w:val="single" w:sz="12" w:space="0" w:color="auto"/>
            </w:tcBorders>
            <w:shd w:val="clear" w:color="000000" w:fill="FFFFFF"/>
            <w:noWrap/>
            <w:vAlign w:val="bottom"/>
            <w:hideMark/>
          </w:tcPr>
          <w:p w:rsidR="00F65F74" w:rsidRPr="00F65F74" w:rsidRDefault="00F65F74">
            <w:pPr>
              <w:jc w:val="center"/>
              <w:rPr>
                <w:rFonts w:ascii="Arial" w:hAnsi="Arial" w:cs="Arial"/>
                <w:b/>
                <w:bCs/>
                <w:color w:val="FF0000"/>
                <w:sz w:val="12"/>
                <w:szCs w:val="12"/>
              </w:rPr>
            </w:pPr>
            <w:r w:rsidRPr="00F65F74">
              <w:rPr>
                <w:rFonts w:ascii="Arial" w:hAnsi="Arial" w:cs="Arial"/>
                <w:b/>
                <w:bCs/>
                <w:color w:val="FF0000"/>
                <w:sz w:val="12"/>
                <w:szCs w:val="12"/>
              </w:rPr>
              <w:t> </w:t>
            </w:r>
          </w:p>
        </w:tc>
        <w:tc>
          <w:tcPr>
            <w:tcW w:w="884" w:type="dxa"/>
            <w:tcBorders>
              <w:top w:val="single" w:sz="4" w:space="0" w:color="auto"/>
              <w:left w:val="nil"/>
              <w:bottom w:val="nil"/>
              <w:right w:val="single" w:sz="4" w:space="0" w:color="auto"/>
            </w:tcBorders>
            <w:shd w:val="clear" w:color="000000" w:fill="FF99CC"/>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£801,170.73</w:t>
            </w:r>
          </w:p>
        </w:tc>
        <w:tc>
          <w:tcPr>
            <w:tcW w:w="675" w:type="dxa"/>
            <w:tcBorders>
              <w:top w:val="nil"/>
              <w:left w:val="nil"/>
              <w:bottom w:val="nil"/>
              <w:right w:val="nil"/>
            </w:tcBorders>
            <w:shd w:val="clear" w:color="000000" w:fill="FFFFFF"/>
            <w:noWrap/>
            <w:vAlign w:val="bottom"/>
            <w:hideMark/>
          </w:tcPr>
          <w:p w:rsidR="00F65F74" w:rsidRPr="00F65F74" w:rsidRDefault="00F65F74">
            <w:pPr>
              <w:jc w:val="center"/>
              <w:rPr>
                <w:rFonts w:ascii="Arial" w:hAnsi="Arial" w:cs="Arial"/>
                <w:b/>
                <w:bCs/>
                <w:color w:val="FF0000"/>
                <w:sz w:val="12"/>
                <w:szCs w:val="12"/>
              </w:rPr>
            </w:pPr>
            <w:r w:rsidRPr="00F65F74">
              <w:rPr>
                <w:rFonts w:ascii="Arial" w:hAnsi="Arial" w:cs="Arial"/>
                <w:b/>
                <w:bCs/>
                <w:color w:val="FF0000"/>
                <w:sz w:val="12"/>
                <w:szCs w:val="12"/>
              </w:rPr>
              <w:t> </w:t>
            </w:r>
          </w:p>
        </w:tc>
        <w:tc>
          <w:tcPr>
            <w:tcW w:w="993" w:type="dxa"/>
            <w:tcBorders>
              <w:top w:val="single" w:sz="4" w:space="0" w:color="auto"/>
              <w:left w:val="single" w:sz="4" w:space="0" w:color="auto"/>
              <w:bottom w:val="nil"/>
              <w:right w:val="single" w:sz="4" w:space="0" w:color="auto"/>
            </w:tcBorders>
            <w:shd w:val="clear" w:color="000000" w:fill="99CCFF"/>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£804,747.77</w:t>
            </w:r>
          </w:p>
        </w:tc>
        <w:tc>
          <w:tcPr>
            <w:tcW w:w="709" w:type="dxa"/>
            <w:tcBorders>
              <w:top w:val="nil"/>
              <w:left w:val="nil"/>
              <w:bottom w:val="nil"/>
              <w:right w:val="nil"/>
            </w:tcBorders>
            <w:shd w:val="clear" w:color="000000" w:fill="FFFFFF"/>
            <w:noWrap/>
            <w:vAlign w:val="bottom"/>
            <w:hideMark/>
          </w:tcPr>
          <w:p w:rsidR="00F65F74" w:rsidRPr="00F65F74" w:rsidRDefault="00F65F74">
            <w:pPr>
              <w:jc w:val="center"/>
              <w:rPr>
                <w:rFonts w:ascii="Arial" w:hAnsi="Arial" w:cs="Arial"/>
                <w:b/>
                <w:bCs/>
                <w:color w:val="FF0000"/>
                <w:sz w:val="12"/>
                <w:szCs w:val="12"/>
              </w:rPr>
            </w:pPr>
            <w:r w:rsidRPr="00F65F74">
              <w:rPr>
                <w:rFonts w:ascii="Arial" w:hAnsi="Arial" w:cs="Arial"/>
                <w:b/>
                <w:bCs/>
                <w:color w:val="FF0000"/>
                <w:sz w:val="12"/>
                <w:szCs w:val="12"/>
              </w:rPr>
              <w:t> </w:t>
            </w:r>
          </w:p>
        </w:tc>
        <w:tc>
          <w:tcPr>
            <w:tcW w:w="992" w:type="dxa"/>
            <w:tcBorders>
              <w:top w:val="single" w:sz="4" w:space="0" w:color="auto"/>
              <w:left w:val="single" w:sz="4" w:space="0" w:color="auto"/>
              <w:bottom w:val="nil"/>
              <w:right w:val="single" w:sz="4" w:space="0" w:color="auto"/>
            </w:tcBorders>
            <w:shd w:val="clear" w:color="000000" w:fill="CC99FF"/>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£821,582.44</w:t>
            </w:r>
          </w:p>
        </w:tc>
        <w:tc>
          <w:tcPr>
            <w:tcW w:w="709" w:type="dxa"/>
            <w:tcBorders>
              <w:top w:val="nil"/>
              <w:left w:val="nil"/>
              <w:bottom w:val="nil"/>
              <w:right w:val="nil"/>
            </w:tcBorders>
            <w:shd w:val="clear" w:color="000000" w:fill="FFFFFF"/>
            <w:noWrap/>
            <w:vAlign w:val="bottom"/>
            <w:hideMark/>
          </w:tcPr>
          <w:p w:rsidR="00F65F74" w:rsidRPr="00F65F74" w:rsidRDefault="00F65F74">
            <w:pPr>
              <w:jc w:val="center"/>
              <w:rPr>
                <w:rFonts w:ascii="Arial" w:hAnsi="Arial" w:cs="Arial"/>
                <w:b/>
                <w:bCs/>
                <w:color w:val="FF0000"/>
                <w:sz w:val="12"/>
                <w:szCs w:val="12"/>
              </w:rPr>
            </w:pPr>
            <w:r w:rsidRPr="00F65F74">
              <w:rPr>
                <w:rFonts w:ascii="Arial" w:hAnsi="Arial" w:cs="Arial"/>
                <w:b/>
                <w:bCs/>
                <w:color w:val="FF0000"/>
                <w:sz w:val="12"/>
                <w:szCs w:val="12"/>
              </w:rPr>
              <w:t> </w:t>
            </w:r>
          </w:p>
        </w:tc>
        <w:tc>
          <w:tcPr>
            <w:tcW w:w="992" w:type="dxa"/>
            <w:tcBorders>
              <w:top w:val="single" w:sz="4" w:space="0" w:color="auto"/>
              <w:left w:val="single" w:sz="4" w:space="0" w:color="auto"/>
              <w:bottom w:val="nil"/>
              <w:right w:val="single" w:sz="4" w:space="0" w:color="auto"/>
            </w:tcBorders>
            <w:shd w:val="clear" w:color="000000" w:fill="EBF1DE"/>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£839,302.97</w:t>
            </w:r>
          </w:p>
        </w:tc>
        <w:tc>
          <w:tcPr>
            <w:tcW w:w="709" w:type="dxa"/>
            <w:tcBorders>
              <w:top w:val="nil"/>
              <w:left w:val="nil"/>
              <w:bottom w:val="nil"/>
              <w:right w:val="nil"/>
            </w:tcBorders>
            <w:shd w:val="clear" w:color="000000" w:fill="FFFFFF"/>
            <w:noWrap/>
            <w:vAlign w:val="bottom"/>
            <w:hideMark/>
          </w:tcPr>
          <w:p w:rsidR="00F65F74" w:rsidRPr="00F65F74" w:rsidRDefault="00F65F74">
            <w:pPr>
              <w:jc w:val="center"/>
              <w:rPr>
                <w:rFonts w:ascii="Arial" w:hAnsi="Arial" w:cs="Arial"/>
                <w:b/>
                <w:bCs/>
                <w:color w:val="FF0000"/>
                <w:sz w:val="12"/>
                <w:szCs w:val="12"/>
              </w:rPr>
            </w:pPr>
            <w:r w:rsidRPr="00F65F74">
              <w:rPr>
                <w:rFonts w:ascii="Arial" w:hAnsi="Arial" w:cs="Arial"/>
                <w:b/>
                <w:bCs/>
                <w:color w:val="FF0000"/>
                <w:sz w:val="12"/>
                <w:szCs w:val="12"/>
              </w:rPr>
              <w:t> </w:t>
            </w:r>
          </w:p>
        </w:tc>
        <w:tc>
          <w:tcPr>
            <w:tcW w:w="1700"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b/>
                <w:bCs/>
                <w:color w:val="FF0000"/>
                <w:sz w:val="12"/>
                <w:szCs w:val="12"/>
              </w:rPr>
            </w:pPr>
          </w:p>
        </w:tc>
      </w:tr>
      <w:tr w:rsidR="00F65F74" w:rsidRPr="00F65F74" w:rsidTr="00567A1F">
        <w:trPr>
          <w:trHeight w:val="185"/>
        </w:trPr>
        <w:tc>
          <w:tcPr>
            <w:tcW w:w="2694" w:type="dxa"/>
            <w:tcBorders>
              <w:top w:val="nil"/>
              <w:left w:val="nil"/>
              <w:bottom w:val="single" w:sz="12" w:space="0" w:color="auto"/>
              <w:right w:val="nil"/>
            </w:tcBorders>
            <w:shd w:val="clear" w:color="auto" w:fill="auto"/>
            <w:vAlign w:val="bottom"/>
            <w:hideMark/>
          </w:tcPr>
          <w:p w:rsidR="00F65F74" w:rsidRPr="00F65F74" w:rsidRDefault="00F65F74">
            <w:pPr>
              <w:rPr>
                <w:rFonts w:ascii="Arial" w:hAnsi="Arial" w:cs="Arial"/>
                <w:b/>
                <w:bCs/>
                <w:sz w:val="12"/>
                <w:szCs w:val="12"/>
              </w:rPr>
            </w:pPr>
            <w:r w:rsidRPr="00F65F74">
              <w:rPr>
                <w:rFonts w:ascii="Arial" w:hAnsi="Arial" w:cs="Arial"/>
                <w:b/>
                <w:bCs/>
                <w:sz w:val="12"/>
                <w:szCs w:val="12"/>
              </w:rPr>
              <w:t xml:space="preserve">Less Local Council Tax Scheme Grant Funding </w:t>
            </w:r>
            <w:r w:rsidRPr="00F65F74">
              <w:rPr>
                <w:rFonts w:ascii="Arial" w:hAnsi="Arial" w:cs="Arial"/>
                <w:b/>
                <w:bCs/>
                <w:color w:val="FF0000"/>
                <w:sz w:val="12"/>
                <w:szCs w:val="12"/>
              </w:rPr>
              <w:t>confirmed</w:t>
            </w:r>
            <w:r w:rsidRPr="00F65F74">
              <w:rPr>
                <w:rFonts w:ascii="Arial" w:hAnsi="Arial" w:cs="Arial"/>
                <w:b/>
                <w:bCs/>
                <w:sz w:val="12"/>
                <w:szCs w:val="12"/>
              </w:rPr>
              <w:t xml:space="preserve">/projected by </w:t>
            </w:r>
            <w:proofErr w:type="spellStart"/>
            <w:r w:rsidRPr="00F65F74">
              <w:rPr>
                <w:rFonts w:ascii="Arial" w:hAnsi="Arial" w:cs="Arial"/>
                <w:b/>
                <w:bCs/>
                <w:sz w:val="12"/>
                <w:szCs w:val="12"/>
              </w:rPr>
              <w:t>Sth</w:t>
            </w:r>
            <w:proofErr w:type="spellEnd"/>
            <w:r w:rsidRPr="00F65F74">
              <w:rPr>
                <w:rFonts w:ascii="Arial" w:hAnsi="Arial" w:cs="Arial"/>
                <w:b/>
                <w:bCs/>
                <w:sz w:val="12"/>
                <w:szCs w:val="12"/>
              </w:rPr>
              <w:t xml:space="preserve"> Glos reduced to 0% p/a </w:t>
            </w:r>
            <w:proofErr w:type="spellStart"/>
            <w:r w:rsidRPr="00F65F74">
              <w:rPr>
                <w:rFonts w:ascii="Arial" w:hAnsi="Arial" w:cs="Arial"/>
                <w:b/>
                <w:bCs/>
                <w:sz w:val="12"/>
                <w:szCs w:val="12"/>
              </w:rPr>
              <w:t>wef</w:t>
            </w:r>
            <w:proofErr w:type="spellEnd"/>
            <w:r w:rsidRPr="00F65F74">
              <w:rPr>
                <w:rFonts w:ascii="Arial" w:hAnsi="Arial" w:cs="Arial"/>
                <w:b/>
                <w:bCs/>
                <w:sz w:val="12"/>
                <w:szCs w:val="12"/>
              </w:rPr>
              <w:t xml:space="preserve"> 2016/17 </w:t>
            </w:r>
          </w:p>
        </w:tc>
        <w:tc>
          <w:tcPr>
            <w:tcW w:w="884" w:type="dxa"/>
            <w:tcBorders>
              <w:top w:val="single" w:sz="4" w:space="0" w:color="auto"/>
              <w:left w:val="single" w:sz="4" w:space="0" w:color="auto"/>
              <w:bottom w:val="nil"/>
              <w:right w:val="single" w:sz="4" w:space="0" w:color="auto"/>
            </w:tcBorders>
            <w:shd w:val="clear" w:color="000000" w:fill="FF3737"/>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£44,961.00</w:t>
            </w:r>
          </w:p>
        </w:tc>
        <w:tc>
          <w:tcPr>
            <w:tcW w:w="637" w:type="dxa"/>
            <w:tcBorders>
              <w:top w:val="nil"/>
              <w:left w:val="nil"/>
              <w:bottom w:val="nil"/>
              <w:right w:val="nil"/>
            </w:tcBorders>
            <w:shd w:val="clear" w:color="000000" w:fill="FFFFFF"/>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922" w:type="dxa"/>
            <w:tcBorders>
              <w:top w:val="single" w:sz="4" w:space="0" w:color="auto"/>
              <w:left w:val="single" w:sz="4" w:space="0" w:color="auto"/>
              <w:bottom w:val="nil"/>
              <w:right w:val="single" w:sz="4" w:space="0" w:color="auto"/>
            </w:tcBorders>
            <w:shd w:val="clear" w:color="000000" w:fill="FF3737"/>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£40,294.00</w:t>
            </w:r>
          </w:p>
        </w:tc>
        <w:tc>
          <w:tcPr>
            <w:tcW w:w="717" w:type="dxa"/>
            <w:tcBorders>
              <w:top w:val="nil"/>
              <w:left w:val="nil"/>
              <w:bottom w:val="nil"/>
              <w:right w:val="single" w:sz="12" w:space="0" w:color="auto"/>
            </w:tcBorders>
            <w:shd w:val="clear" w:color="000000" w:fill="FFFFFF"/>
            <w:noWrap/>
            <w:vAlign w:val="bottom"/>
            <w:hideMark/>
          </w:tcPr>
          <w:p w:rsidR="00F65F74" w:rsidRPr="00F65F74" w:rsidRDefault="00F65F74">
            <w:pPr>
              <w:jc w:val="center"/>
              <w:rPr>
                <w:rFonts w:ascii="Arial" w:hAnsi="Arial" w:cs="Arial"/>
                <w:b/>
                <w:bCs/>
                <w:color w:val="FF0000"/>
                <w:sz w:val="12"/>
                <w:szCs w:val="12"/>
              </w:rPr>
            </w:pPr>
            <w:r w:rsidRPr="00F65F74">
              <w:rPr>
                <w:rFonts w:ascii="Arial" w:hAnsi="Arial" w:cs="Arial"/>
                <w:b/>
                <w:bCs/>
                <w:color w:val="FF0000"/>
                <w:sz w:val="12"/>
                <w:szCs w:val="12"/>
              </w:rPr>
              <w:t> </w:t>
            </w:r>
          </w:p>
        </w:tc>
        <w:tc>
          <w:tcPr>
            <w:tcW w:w="884" w:type="dxa"/>
            <w:tcBorders>
              <w:top w:val="single" w:sz="4" w:space="0" w:color="auto"/>
              <w:left w:val="nil"/>
              <w:bottom w:val="nil"/>
              <w:right w:val="single" w:sz="4" w:space="0" w:color="auto"/>
            </w:tcBorders>
            <w:shd w:val="clear" w:color="000000" w:fill="FF3737"/>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£19,073.00</w:t>
            </w:r>
          </w:p>
        </w:tc>
        <w:tc>
          <w:tcPr>
            <w:tcW w:w="775" w:type="dxa"/>
            <w:tcBorders>
              <w:top w:val="single" w:sz="4" w:space="0" w:color="auto"/>
              <w:left w:val="nil"/>
              <w:bottom w:val="single" w:sz="12" w:space="0" w:color="auto"/>
              <w:right w:val="single" w:sz="12" w:space="0" w:color="auto"/>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-52.67%</w:t>
            </w:r>
          </w:p>
        </w:tc>
        <w:tc>
          <w:tcPr>
            <w:tcW w:w="884" w:type="dxa"/>
            <w:tcBorders>
              <w:top w:val="single" w:sz="4" w:space="0" w:color="auto"/>
              <w:left w:val="nil"/>
              <w:bottom w:val="single" w:sz="12" w:space="0" w:color="auto"/>
              <w:right w:val="single" w:sz="4" w:space="0" w:color="auto"/>
            </w:tcBorders>
            <w:shd w:val="clear" w:color="000000" w:fill="FFFFFF"/>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£0.00</w:t>
            </w:r>
          </w:p>
        </w:tc>
        <w:tc>
          <w:tcPr>
            <w:tcW w:w="675" w:type="dxa"/>
            <w:tcBorders>
              <w:top w:val="single" w:sz="4" w:space="0" w:color="auto"/>
              <w:left w:val="nil"/>
              <w:bottom w:val="single" w:sz="12" w:space="0" w:color="auto"/>
              <w:right w:val="single" w:sz="4" w:space="0" w:color="auto"/>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w:t>
            </w:r>
          </w:p>
        </w:tc>
        <w:tc>
          <w:tcPr>
            <w:tcW w:w="993" w:type="dxa"/>
            <w:tcBorders>
              <w:top w:val="single" w:sz="4" w:space="0" w:color="auto"/>
              <w:left w:val="nil"/>
              <w:bottom w:val="single" w:sz="12" w:space="0" w:color="auto"/>
              <w:right w:val="single" w:sz="4" w:space="0" w:color="auto"/>
            </w:tcBorders>
            <w:shd w:val="clear" w:color="000000" w:fill="FFFFFF"/>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£0.00</w:t>
            </w:r>
          </w:p>
        </w:tc>
        <w:tc>
          <w:tcPr>
            <w:tcW w:w="709" w:type="dxa"/>
            <w:tcBorders>
              <w:top w:val="single" w:sz="4" w:space="0" w:color="auto"/>
              <w:left w:val="nil"/>
              <w:bottom w:val="single" w:sz="12" w:space="0" w:color="auto"/>
              <w:right w:val="single" w:sz="4" w:space="0" w:color="auto"/>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0.00%</w:t>
            </w:r>
          </w:p>
        </w:tc>
        <w:tc>
          <w:tcPr>
            <w:tcW w:w="992" w:type="dxa"/>
            <w:tcBorders>
              <w:top w:val="single" w:sz="4" w:space="0" w:color="auto"/>
              <w:left w:val="nil"/>
              <w:bottom w:val="single" w:sz="12" w:space="0" w:color="auto"/>
              <w:right w:val="single" w:sz="4" w:space="0" w:color="auto"/>
            </w:tcBorders>
            <w:shd w:val="clear" w:color="000000" w:fill="FFFFFF"/>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£0.00</w:t>
            </w:r>
          </w:p>
        </w:tc>
        <w:tc>
          <w:tcPr>
            <w:tcW w:w="709" w:type="dxa"/>
            <w:tcBorders>
              <w:top w:val="single" w:sz="4" w:space="0" w:color="auto"/>
              <w:left w:val="nil"/>
              <w:bottom w:val="single" w:sz="12" w:space="0" w:color="auto"/>
              <w:right w:val="nil"/>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0.00%</w:t>
            </w:r>
          </w:p>
        </w:tc>
        <w:tc>
          <w:tcPr>
            <w:tcW w:w="992" w:type="dxa"/>
            <w:tcBorders>
              <w:top w:val="single" w:sz="4" w:space="0" w:color="auto"/>
              <w:left w:val="single" w:sz="4" w:space="0" w:color="auto"/>
              <w:bottom w:val="single" w:sz="12" w:space="0" w:color="auto"/>
              <w:right w:val="single" w:sz="4" w:space="0" w:color="auto"/>
            </w:tcBorders>
            <w:shd w:val="clear" w:color="000000" w:fill="FFFFFF"/>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£0.00</w:t>
            </w:r>
          </w:p>
        </w:tc>
        <w:tc>
          <w:tcPr>
            <w:tcW w:w="2409" w:type="dxa"/>
            <w:gridSpan w:val="2"/>
            <w:tcBorders>
              <w:top w:val="single" w:sz="4" w:space="0" w:color="auto"/>
              <w:left w:val="nil"/>
              <w:bottom w:val="nil"/>
              <w:right w:val="single" w:sz="4" w:space="0" w:color="000000"/>
            </w:tcBorders>
            <w:shd w:val="clear" w:color="auto" w:fill="auto"/>
            <w:vAlign w:val="bottom"/>
            <w:hideMark/>
          </w:tcPr>
          <w:p w:rsidR="00F65F74" w:rsidRPr="00567A1F" w:rsidRDefault="00F65F74">
            <w:pPr>
              <w:rPr>
                <w:rFonts w:ascii="Arial" w:hAnsi="Arial" w:cs="Arial"/>
                <w:b/>
                <w:bCs/>
                <w:color w:val="FF0000"/>
                <w:sz w:val="8"/>
                <w:szCs w:val="8"/>
              </w:rPr>
            </w:pPr>
            <w:r w:rsidRPr="00567A1F">
              <w:rPr>
                <w:rFonts w:ascii="Arial" w:hAnsi="Arial" w:cs="Arial"/>
                <w:b/>
                <w:bCs/>
                <w:color w:val="FF0000"/>
                <w:sz w:val="8"/>
                <w:szCs w:val="8"/>
              </w:rPr>
              <w:t>2016.17 LCTR Confirmed by SGC. Forecast figures are £11,966 - 2017/18, £7,945 - 2018/19 + £0 thereafter. Based upon historic cuts BSTC has discounted this funding after 2016/17</w:t>
            </w:r>
          </w:p>
        </w:tc>
      </w:tr>
      <w:tr w:rsidR="00F65F74" w:rsidRPr="00F65F74" w:rsidTr="00567A1F">
        <w:trPr>
          <w:trHeight w:val="38"/>
        </w:trPr>
        <w:tc>
          <w:tcPr>
            <w:tcW w:w="2694" w:type="dxa"/>
            <w:tcBorders>
              <w:top w:val="nil"/>
              <w:left w:val="single" w:sz="12" w:space="0" w:color="auto"/>
              <w:bottom w:val="single" w:sz="4" w:space="0" w:color="auto"/>
              <w:right w:val="single" w:sz="4" w:space="0" w:color="auto"/>
            </w:tcBorders>
            <w:shd w:val="clear" w:color="000000" w:fill="FFFFFF"/>
            <w:vAlign w:val="bottom"/>
            <w:hideMark/>
          </w:tcPr>
          <w:p w:rsidR="00F65F74" w:rsidRPr="00F65F74" w:rsidRDefault="00F65F74">
            <w:pPr>
              <w:rPr>
                <w:rFonts w:ascii="Arial" w:hAnsi="Arial" w:cs="Arial"/>
                <w:b/>
                <w:bCs/>
                <w:sz w:val="12"/>
                <w:szCs w:val="12"/>
              </w:rPr>
            </w:pPr>
            <w:r w:rsidRPr="00F65F74">
              <w:rPr>
                <w:rFonts w:ascii="Arial" w:hAnsi="Arial" w:cs="Arial"/>
                <w:b/>
                <w:bCs/>
                <w:color w:val="FF0000"/>
                <w:sz w:val="12"/>
                <w:szCs w:val="12"/>
              </w:rPr>
              <w:t>Approved</w:t>
            </w:r>
            <w:r w:rsidRPr="00F65F74">
              <w:rPr>
                <w:rFonts w:ascii="Arial" w:hAnsi="Arial" w:cs="Arial"/>
                <w:b/>
                <w:bCs/>
                <w:sz w:val="12"/>
                <w:szCs w:val="12"/>
              </w:rPr>
              <w:t>/Estimated Precept per Band D property</w:t>
            </w:r>
          </w:p>
        </w:tc>
        <w:tc>
          <w:tcPr>
            <w:tcW w:w="884" w:type="dxa"/>
            <w:tcBorders>
              <w:top w:val="single" w:sz="12" w:space="0" w:color="auto"/>
              <w:left w:val="single" w:sz="4" w:space="0" w:color="auto"/>
              <w:bottom w:val="single" w:sz="4" w:space="0" w:color="auto"/>
              <w:right w:val="single" w:sz="4" w:space="0" w:color="auto"/>
            </w:tcBorders>
            <w:shd w:val="clear" w:color="000000" w:fill="FF3737"/>
            <w:noWrap/>
            <w:vAlign w:val="center"/>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£113.50</w:t>
            </w:r>
          </w:p>
        </w:tc>
        <w:tc>
          <w:tcPr>
            <w:tcW w:w="637" w:type="dxa"/>
            <w:tcBorders>
              <w:top w:val="single" w:sz="12" w:space="0" w:color="auto"/>
              <w:left w:val="nil"/>
              <w:bottom w:val="single" w:sz="4" w:space="0" w:color="auto"/>
              <w:right w:val="nil"/>
            </w:tcBorders>
            <w:shd w:val="clear" w:color="000000" w:fill="C4D79B"/>
            <w:noWrap/>
            <w:vAlign w:val="center"/>
            <w:hideMark/>
          </w:tcPr>
          <w:p w:rsidR="00F65F74" w:rsidRPr="00F65F74" w:rsidRDefault="00F65F74">
            <w:pPr>
              <w:jc w:val="center"/>
              <w:rPr>
                <w:rFonts w:ascii="Arial" w:hAnsi="Arial" w:cs="Arial"/>
                <w:sz w:val="12"/>
                <w:szCs w:val="12"/>
              </w:rPr>
            </w:pPr>
            <w:r w:rsidRPr="00F65F74">
              <w:rPr>
                <w:rFonts w:ascii="Arial" w:hAnsi="Arial" w:cs="Arial"/>
                <w:sz w:val="12"/>
                <w:szCs w:val="12"/>
              </w:rPr>
              <w:t>0.00%</w:t>
            </w:r>
          </w:p>
        </w:tc>
        <w:tc>
          <w:tcPr>
            <w:tcW w:w="922" w:type="dxa"/>
            <w:tcBorders>
              <w:top w:val="single" w:sz="12" w:space="0" w:color="auto"/>
              <w:left w:val="single" w:sz="4" w:space="0" w:color="auto"/>
              <w:bottom w:val="single" w:sz="4" w:space="0" w:color="auto"/>
              <w:right w:val="single" w:sz="4" w:space="0" w:color="auto"/>
            </w:tcBorders>
            <w:shd w:val="clear" w:color="000000" w:fill="FF3737"/>
            <w:noWrap/>
            <w:vAlign w:val="center"/>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£113.50</w:t>
            </w:r>
          </w:p>
        </w:tc>
        <w:tc>
          <w:tcPr>
            <w:tcW w:w="717" w:type="dxa"/>
            <w:tcBorders>
              <w:top w:val="single" w:sz="12" w:space="0" w:color="auto"/>
              <w:left w:val="nil"/>
              <w:bottom w:val="single" w:sz="4" w:space="0" w:color="auto"/>
              <w:right w:val="single" w:sz="12" w:space="0" w:color="auto"/>
            </w:tcBorders>
            <w:shd w:val="clear" w:color="000000" w:fill="FFFF99"/>
            <w:noWrap/>
            <w:vAlign w:val="center"/>
            <w:hideMark/>
          </w:tcPr>
          <w:p w:rsidR="00F65F74" w:rsidRPr="00F65F74" w:rsidRDefault="00F65F74">
            <w:pPr>
              <w:jc w:val="center"/>
              <w:rPr>
                <w:rFonts w:ascii="Arial" w:hAnsi="Arial" w:cs="Arial"/>
                <w:sz w:val="12"/>
                <w:szCs w:val="12"/>
              </w:rPr>
            </w:pPr>
            <w:r w:rsidRPr="00F65F74">
              <w:rPr>
                <w:rFonts w:ascii="Arial" w:hAnsi="Arial" w:cs="Arial"/>
                <w:sz w:val="12"/>
                <w:szCs w:val="12"/>
              </w:rPr>
              <w:t>0.00%</w:t>
            </w:r>
          </w:p>
        </w:tc>
        <w:tc>
          <w:tcPr>
            <w:tcW w:w="884" w:type="dxa"/>
            <w:tcBorders>
              <w:top w:val="single" w:sz="12" w:space="0" w:color="auto"/>
              <w:left w:val="nil"/>
              <w:bottom w:val="single" w:sz="4" w:space="0" w:color="auto"/>
              <w:right w:val="single" w:sz="4" w:space="0" w:color="auto"/>
            </w:tcBorders>
            <w:shd w:val="clear" w:color="000000" w:fill="FF3737"/>
            <w:noWrap/>
            <w:vAlign w:val="center"/>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£115.20</w:t>
            </w:r>
          </w:p>
        </w:tc>
        <w:tc>
          <w:tcPr>
            <w:tcW w:w="775" w:type="dxa"/>
            <w:tcBorders>
              <w:top w:val="nil"/>
              <w:left w:val="nil"/>
              <w:bottom w:val="single" w:sz="4" w:space="0" w:color="auto"/>
              <w:right w:val="single" w:sz="12" w:space="0" w:color="auto"/>
            </w:tcBorders>
            <w:shd w:val="clear" w:color="000000" w:fill="FABF8F"/>
            <w:noWrap/>
            <w:vAlign w:val="center"/>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1.50%</w:t>
            </w:r>
          </w:p>
        </w:tc>
        <w:tc>
          <w:tcPr>
            <w:tcW w:w="884" w:type="dxa"/>
            <w:tcBorders>
              <w:top w:val="nil"/>
              <w:left w:val="nil"/>
              <w:bottom w:val="single" w:sz="4" w:space="0" w:color="auto"/>
              <w:right w:val="single" w:sz="4" w:space="0" w:color="auto"/>
            </w:tcBorders>
            <w:shd w:val="clear" w:color="000000" w:fill="FFFFFF"/>
            <w:noWrap/>
            <w:vAlign w:val="center"/>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£115.20</w:t>
            </w:r>
          </w:p>
        </w:tc>
        <w:tc>
          <w:tcPr>
            <w:tcW w:w="675" w:type="dxa"/>
            <w:tcBorders>
              <w:top w:val="nil"/>
              <w:left w:val="nil"/>
              <w:bottom w:val="single" w:sz="4" w:space="0" w:color="auto"/>
              <w:right w:val="single" w:sz="4" w:space="0" w:color="auto"/>
            </w:tcBorders>
            <w:shd w:val="clear" w:color="000000" w:fill="FF99FF"/>
            <w:noWrap/>
            <w:vAlign w:val="center"/>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£115.20</w:t>
            </w:r>
          </w:p>
        </w:tc>
        <w:tc>
          <w:tcPr>
            <w:tcW w:w="709" w:type="dxa"/>
            <w:tcBorders>
              <w:top w:val="nil"/>
              <w:left w:val="nil"/>
              <w:bottom w:val="single" w:sz="4" w:space="0" w:color="auto"/>
              <w:right w:val="single" w:sz="12" w:space="0" w:color="auto"/>
            </w:tcBorders>
            <w:shd w:val="clear" w:color="000000" w:fill="99CCFF"/>
            <w:noWrap/>
            <w:vAlign w:val="center"/>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£115.20</w:t>
            </w:r>
          </w:p>
        </w:tc>
        <w:tc>
          <w:tcPr>
            <w:tcW w:w="709" w:type="dxa"/>
            <w:tcBorders>
              <w:top w:val="nil"/>
              <w:left w:val="nil"/>
              <w:bottom w:val="single" w:sz="4" w:space="0" w:color="auto"/>
              <w:right w:val="single" w:sz="4" w:space="0" w:color="auto"/>
            </w:tcBorders>
            <w:shd w:val="clear" w:color="000000" w:fill="CC99FF"/>
            <w:noWrap/>
            <w:vAlign w:val="center"/>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£115.20</w:t>
            </w:r>
          </w:p>
        </w:tc>
        <w:tc>
          <w:tcPr>
            <w:tcW w:w="709" w:type="dxa"/>
            <w:tcBorders>
              <w:top w:val="single" w:sz="12" w:space="0" w:color="auto"/>
              <w:left w:val="nil"/>
              <w:bottom w:val="single" w:sz="12" w:space="0" w:color="auto"/>
              <w:right w:val="single" w:sz="12" w:space="0" w:color="auto"/>
            </w:tcBorders>
            <w:shd w:val="clear" w:color="000000" w:fill="EBF1DE"/>
            <w:noWrap/>
            <w:vAlign w:val="center"/>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0.00%</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F65F74" w:rsidRPr="00F65F74" w:rsidRDefault="00F65F74">
            <w:pPr>
              <w:jc w:val="center"/>
              <w:rPr>
                <w:rFonts w:ascii="Arial" w:hAnsi="Arial" w:cs="Arial"/>
                <w:b/>
                <w:bCs/>
                <w:color w:val="FF0000"/>
                <w:sz w:val="12"/>
                <w:szCs w:val="12"/>
              </w:rPr>
            </w:pPr>
            <w:r w:rsidRPr="00F65F74">
              <w:rPr>
                <w:rFonts w:ascii="Arial" w:hAnsi="Arial" w:cs="Arial"/>
                <w:b/>
                <w:bCs/>
                <w:color w:val="FF0000"/>
                <w:sz w:val="12"/>
                <w:szCs w:val="12"/>
              </w:rPr>
              <w:t xml:space="preserve">Precept forecast @ 0% </w:t>
            </w:r>
            <w:proofErr w:type="spellStart"/>
            <w:r w:rsidRPr="00F65F74">
              <w:rPr>
                <w:rFonts w:ascii="Arial" w:hAnsi="Arial" w:cs="Arial"/>
                <w:b/>
                <w:bCs/>
                <w:color w:val="FF0000"/>
                <w:sz w:val="12"/>
                <w:szCs w:val="12"/>
              </w:rPr>
              <w:t>wef</w:t>
            </w:r>
            <w:proofErr w:type="spellEnd"/>
            <w:r w:rsidRPr="00F65F74">
              <w:rPr>
                <w:rFonts w:ascii="Arial" w:hAnsi="Arial" w:cs="Arial"/>
                <w:b/>
                <w:bCs/>
                <w:color w:val="FF0000"/>
                <w:sz w:val="12"/>
                <w:szCs w:val="12"/>
              </w:rPr>
              <w:t xml:space="preserve"> 2017/18</w:t>
            </w:r>
          </w:p>
        </w:tc>
      </w:tr>
      <w:tr w:rsidR="00F65F74" w:rsidRPr="00F65F74" w:rsidTr="00567A1F">
        <w:trPr>
          <w:trHeight w:val="38"/>
        </w:trPr>
        <w:tc>
          <w:tcPr>
            <w:tcW w:w="2694" w:type="dxa"/>
            <w:tcBorders>
              <w:top w:val="nil"/>
              <w:left w:val="single" w:sz="12" w:space="0" w:color="auto"/>
              <w:bottom w:val="single" w:sz="12" w:space="0" w:color="auto"/>
              <w:right w:val="single" w:sz="4" w:space="0" w:color="auto"/>
            </w:tcBorders>
            <w:shd w:val="clear" w:color="000000" w:fill="FFFFFF"/>
            <w:vAlign w:val="bottom"/>
            <w:hideMark/>
          </w:tcPr>
          <w:p w:rsidR="00F65F74" w:rsidRPr="00F65F74" w:rsidRDefault="00F65F74">
            <w:pPr>
              <w:rPr>
                <w:rFonts w:ascii="Arial" w:hAnsi="Arial" w:cs="Arial"/>
                <w:b/>
                <w:bCs/>
                <w:sz w:val="12"/>
                <w:szCs w:val="12"/>
              </w:rPr>
            </w:pPr>
            <w:r w:rsidRPr="00F65F74">
              <w:rPr>
                <w:rFonts w:ascii="Arial" w:hAnsi="Arial" w:cs="Arial"/>
                <w:b/>
                <w:bCs/>
                <w:color w:val="FF0000"/>
                <w:sz w:val="12"/>
                <w:szCs w:val="12"/>
              </w:rPr>
              <w:t>Approved</w:t>
            </w:r>
            <w:r w:rsidRPr="00F65F74">
              <w:rPr>
                <w:rFonts w:ascii="Arial" w:hAnsi="Arial" w:cs="Arial"/>
                <w:b/>
                <w:bCs/>
                <w:sz w:val="12"/>
                <w:szCs w:val="12"/>
              </w:rPr>
              <w:t>/</w:t>
            </w:r>
            <w:proofErr w:type="spellStart"/>
            <w:r w:rsidRPr="00F65F74">
              <w:rPr>
                <w:rFonts w:ascii="Arial" w:hAnsi="Arial" w:cs="Arial"/>
                <w:b/>
                <w:bCs/>
                <w:sz w:val="12"/>
                <w:szCs w:val="12"/>
              </w:rPr>
              <w:t>Sth</w:t>
            </w:r>
            <w:proofErr w:type="spellEnd"/>
            <w:r w:rsidRPr="00F65F74">
              <w:rPr>
                <w:rFonts w:ascii="Arial" w:hAnsi="Arial" w:cs="Arial"/>
                <w:b/>
                <w:bCs/>
                <w:sz w:val="12"/>
                <w:szCs w:val="12"/>
              </w:rPr>
              <w:t xml:space="preserve"> Glos Estimated Tax Base </w:t>
            </w:r>
          </w:p>
        </w:tc>
        <w:tc>
          <w:tcPr>
            <w:tcW w:w="884" w:type="dxa"/>
            <w:tcBorders>
              <w:top w:val="nil"/>
              <w:left w:val="single" w:sz="4" w:space="0" w:color="auto"/>
              <w:bottom w:val="single" w:sz="12" w:space="0" w:color="auto"/>
              <w:right w:val="single" w:sz="4" w:space="0" w:color="auto"/>
            </w:tcBorders>
            <w:shd w:val="clear" w:color="000000" w:fill="FF3737"/>
            <w:noWrap/>
            <w:vAlign w:val="center"/>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6739</w:t>
            </w:r>
          </w:p>
        </w:tc>
        <w:tc>
          <w:tcPr>
            <w:tcW w:w="637" w:type="dxa"/>
            <w:tcBorders>
              <w:top w:val="nil"/>
              <w:left w:val="nil"/>
              <w:bottom w:val="single" w:sz="12" w:space="0" w:color="auto"/>
              <w:right w:val="nil"/>
            </w:tcBorders>
            <w:shd w:val="clear" w:color="000000" w:fill="FFFFFF"/>
            <w:noWrap/>
            <w:vAlign w:val="center"/>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922" w:type="dxa"/>
            <w:tcBorders>
              <w:top w:val="nil"/>
              <w:left w:val="single" w:sz="4" w:space="0" w:color="auto"/>
              <w:bottom w:val="single" w:sz="12" w:space="0" w:color="auto"/>
              <w:right w:val="single" w:sz="4" w:space="0" w:color="auto"/>
            </w:tcBorders>
            <w:shd w:val="clear" w:color="000000" w:fill="FF3737"/>
            <w:noWrap/>
            <w:vAlign w:val="center"/>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6814</w:t>
            </w:r>
          </w:p>
        </w:tc>
        <w:tc>
          <w:tcPr>
            <w:tcW w:w="717" w:type="dxa"/>
            <w:tcBorders>
              <w:top w:val="nil"/>
              <w:left w:val="nil"/>
              <w:bottom w:val="single" w:sz="12" w:space="0" w:color="auto"/>
              <w:right w:val="single" w:sz="12" w:space="0" w:color="auto"/>
            </w:tcBorders>
            <w:shd w:val="clear" w:color="000000" w:fill="FFFFFF"/>
            <w:noWrap/>
            <w:vAlign w:val="center"/>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884" w:type="dxa"/>
            <w:tcBorders>
              <w:top w:val="nil"/>
              <w:left w:val="nil"/>
              <w:bottom w:val="single" w:sz="12" w:space="0" w:color="auto"/>
              <w:right w:val="single" w:sz="4" w:space="0" w:color="auto"/>
            </w:tcBorders>
            <w:shd w:val="clear" w:color="000000" w:fill="FF3737"/>
            <w:noWrap/>
            <w:vAlign w:val="center"/>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6901</w:t>
            </w:r>
          </w:p>
        </w:tc>
        <w:tc>
          <w:tcPr>
            <w:tcW w:w="775" w:type="dxa"/>
            <w:tcBorders>
              <w:top w:val="nil"/>
              <w:left w:val="nil"/>
              <w:bottom w:val="single" w:sz="12" w:space="0" w:color="auto"/>
              <w:right w:val="single" w:sz="12" w:space="0" w:color="auto"/>
            </w:tcBorders>
            <w:shd w:val="clear" w:color="000000" w:fill="FFFFFF"/>
            <w:noWrap/>
            <w:vAlign w:val="center"/>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884" w:type="dxa"/>
            <w:tcBorders>
              <w:top w:val="nil"/>
              <w:left w:val="nil"/>
              <w:bottom w:val="single" w:sz="12" w:space="0" w:color="auto"/>
              <w:right w:val="single" w:sz="4" w:space="0" w:color="auto"/>
            </w:tcBorders>
            <w:shd w:val="clear" w:color="000000" w:fill="FF99CC"/>
            <w:noWrap/>
            <w:vAlign w:val="center"/>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7127</w:t>
            </w:r>
          </w:p>
        </w:tc>
        <w:tc>
          <w:tcPr>
            <w:tcW w:w="675" w:type="dxa"/>
            <w:tcBorders>
              <w:top w:val="nil"/>
              <w:left w:val="nil"/>
              <w:bottom w:val="single" w:sz="12" w:space="0" w:color="auto"/>
              <w:right w:val="single" w:sz="4" w:space="0" w:color="auto"/>
            </w:tcBorders>
            <w:shd w:val="clear" w:color="000000" w:fill="FFFFFF"/>
            <w:noWrap/>
            <w:vAlign w:val="center"/>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993" w:type="dxa"/>
            <w:tcBorders>
              <w:top w:val="nil"/>
              <w:left w:val="nil"/>
              <w:bottom w:val="single" w:sz="12" w:space="0" w:color="auto"/>
              <w:right w:val="single" w:sz="4" w:space="0" w:color="auto"/>
            </w:tcBorders>
            <w:shd w:val="clear" w:color="000000" w:fill="99CCFF"/>
            <w:noWrap/>
            <w:vAlign w:val="center"/>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7246</w:t>
            </w:r>
          </w:p>
        </w:tc>
        <w:tc>
          <w:tcPr>
            <w:tcW w:w="709" w:type="dxa"/>
            <w:tcBorders>
              <w:top w:val="nil"/>
              <w:left w:val="nil"/>
              <w:bottom w:val="single" w:sz="12" w:space="0" w:color="auto"/>
              <w:right w:val="single" w:sz="12" w:space="0" w:color="auto"/>
            </w:tcBorders>
            <w:shd w:val="clear" w:color="000000" w:fill="FFFFFF"/>
            <w:noWrap/>
            <w:vAlign w:val="center"/>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992" w:type="dxa"/>
            <w:tcBorders>
              <w:top w:val="nil"/>
              <w:left w:val="single" w:sz="4" w:space="0" w:color="auto"/>
              <w:bottom w:val="single" w:sz="12" w:space="0" w:color="auto"/>
              <w:right w:val="single" w:sz="4" w:space="0" w:color="auto"/>
            </w:tcBorders>
            <w:shd w:val="clear" w:color="000000" w:fill="CC99FF"/>
            <w:noWrap/>
            <w:vAlign w:val="center"/>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7377</w:t>
            </w:r>
          </w:p>
        </w:tc>
        <w:tc>
          <w:tcPr>
            <w:tcW w:w="709" w:type="dxa"/>
            <w:tcBorders>
              <w:top w:val="nil"/>
              <w:left w:val="nil"/>
              <w:bottom w:val="single" w:sz="12" w:space="0" w:color="auto"/>
              <w:right w:val="nil"/>
            </w:tcBorders>
            <w:shd w:val="clear" w:color="000000" w:fill="FFFFFF"/>
            <w:noWrap/>
            <w:vAlign w:val="center"/>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992" w:type="dxa"/>
            <w:tcBorders>
              <w:top w:val="nil"/>
              <w:left w:val="single" w:sz="4" w:space="0" w:color="auto"/>
              <w:bottom w:val="single" w:sz="12" w:space="0" w:color="auto"/>
              <w:right w:val="single" w:sz="12" w:space="0" w:color="auto"/>
            </w:tcBorders>
            <w:shd w:val="clear" w:color="000000" w:fill="EBF1DE"/>
            <w:noWrap/>
            <w:vAlign w:val="center"/>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7377</w:t>
            </w:r>
          </w:p>
        </w:tc>
        <w:tc>
          <w:tcPr>
            <w:tcW w:w="2409" w:type="dxa"/>
            <w:gridSpan w:val="2"/>
            <w:tcBorders>
              <w:top w:val="nil"/>
              <w:left w:val="nil"/>
              <w:bottom w:val="single" w:sz="4" w:space="0" w:color="auto"/>
              <w:right w:val="single" w:sz="4" w:space="0" w:color="000000"/>
            </w:tcBorders>
            <w:shd w:val="clear" w:color="auto" w:fill="auto"/>
            <w:vAlign w:val="bottom"/>
            <w:hideMark/>
          </w:tcPr>
          <w:p w:rsidR="00F65F74" w:rsidRPr="00567A1F" w:rsidRDefault="00F65F74">
            <w:pPr>
              <w:rPr>
                <w:rFonts w:ascii="Arial" w:hAnsi="Arial" w:cs="Arial"/>
                <w:b/>
                <w:bCs/>
                <w:color w:val="FF0000"/>
                <w:sz w:val="8"/>
                <w:szCs w:val="8"/>
              </w:rPr>
            </w:pPr>
            <w:r w:rsidRPr="00567A1F">
              <w:rPr>
                <w:rFonts w:ascii="Arial" w:hAnsi="Arial" w:cs="Arial"/>
                <w:b/>
                <w:bCs/>
                <w:color w:val="FF0000"/>
                <w:sz w:val="8"/>
                <w:szCs w:val="8"/>
              </w:rPr>
              <w:t>2016/17 Confirmed tax base + SGC indicative figures to 2019/20 as published 15/12/15</w:t>
            </w:r>
          </w:p>
        </w:tc>
      </w:tr>
      <w:tr w:rsidR="00F65F74" w:rsidRPr="00F65F74" w:rsidTr="00567A1F">
        <w:trPr>
          <w:trHeight w:val="38"/>
        </w:trPr>
        <w:tc>
          <w:tcPr>
            <w:tcW w:w="2694" w:type="dxa"/>
            <w:tcBorders>
              <w:top w:val="nil"/>
              <w:left w:val="nil"/>
              <w:bottom w:val="nil"/>
              <w:right w:val="nil"/>
            </w:tcBorders>
            <w:shd w:val="clear" w:color="000000" w:fill="FFFFFF"/>
            <w:vAlign w:val="bottom"/>
            <w:hideMark/>
          </w:tcPr>
          <w:p w:rsidR="00F65F74" w:rsidRPr="00F65F74" w:rsidRDefault="00F65F74">
            <w:pPr>
              <w:rPr>
                <w:rFonts w:ascii="Arial" w:hAnsi="Arial" w:cs="Arial"/>
                <w:b/>
                <w:bCs/>
                <w:sz w:val="12"/>
                <w:szCs w:val="12"/>
              </w:rPr>
            </w:pPr>
            <w:r w:rsidRPr="00F65F74">
              <w:rPr>
                <w:rFonts w:ascii="Arial" w:hAnsi="Arial" w:cs="Arial"/>
                <w:b/>
                <w:bCs/>
                <w:sz w:val="12"/>
                <w:szCs w:val="12"/>
              </w:rPr>
              <w:t>Approved/Estimated Total Precept Income</w:t>
            </w:r>
          </w:p>
        </w:tc>
        <w:tc>
          <w:tcPr>
            <w:tcW w:w="884" w:type="dxa"/>
            <w:tcBorders>
              <w:top w:val="nil"/>
              <w:left w:val="single" w:sz="4" w:space="0" w:color="auto"/>
              <w:bottom w:val="single" w:sz="4" w:space="0" w:color="auto"/>
              <w:right w:val="single" w:sz="4" w:space="0" w:color="auto"/>
            </w:tcBorders>
            <w:shd w:val="clear" w:color="000000" w:fill="FF00FF"/>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£764,877.00</w:t>
            </w:r>
          </w:p>
        </w:tc>
        <w:tc>
          <w:tcPr>
            <w:tcW w:w="637" w:type="dxa"/>
            <w:tcBorders>
              <w:top w:val="single" w:sz="4" w:space="0" w:color="auto"/>
              <w:left w:val="nil"/>
              <w:bottom w:val="nil"/>
              <w:right w:val="nil"/>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922" w:type="dxa"/>
            <w:tcBorders>
              <w:top w:val="nil"/>
              <w:left w:val="single" w:sz="4" w:space="0" w:color="auto"/>
              <w:bottom w:val="single" w:sz="4" w:space="0" w:color="auto"/>
              <w:right w:val="single" w:sz="4" w:space="0" w:color="auto"/>
            </w:tcBorders>
            <w:shd w:val="clear" w:color="000000" w:fill="FF00FF"/>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£773,389.00</w:t>
            </w:r>
          </w:p>
        </w:tc>
        <w:tc>
          <w:tcPr>
            <w:tcW w:w="717" w:type="dxa"/>
            <w:tcBorders>
              <w:top w:val="single" w:sz="4" w:space="0" w:color="auto"/>
              <w:left w:val="nil"/>
              <w:bottom w:val="nil"/>
              <w:right w:val="single" w:sz="12" w:space="0" w:color="auto"/>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884" w:type="dxa"/>
            <w:tcBorders>
              <w:top w:val="nil"/>
              <w:left w:val="nil"/>
              <w:bottom w:val="single" w:sz="4" w:space="0" w:color="auto"/>
              <w:right w:val="single" w:sz="4" w:space="0" w:color="auto"/>
            </w:tcBorders>
            <w:shd w:val="clear" w:color="000000" w:fill="FF00FF"/>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£794,996.00</w:t>
            </w:r>
          </w:p>
        </w:tc>
        <w:tc>
          <w:tcPr>
            <w:tcW w:w="775" w:type="dxa"/>
            <w:tcBorders>
              <w:top w:val="single" w:sz="4" w:space="0" w:color="auto"/>
              <w:left w:val="nil"/>
              <w:bottom w:val="nil"/>
              <w:right w:val="single" w:sz="12" w:space="0" w:color="auto"/>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884" w:type="dxa"/>
            <w:tcBorders>
              <w:top w:val="nil"/>
              <w:left w:val="nil"/>
              <w:bottom w:val="single" w:sz="4" w:space="0" w:color="auto"/>
              <w:right w:val="single" w:sz="4" w:space="0" w:color="auto"/>
            </w:tcBorders>
            <w:shd w:val="clear" w:color="000000" w:fill="FF00FF"/>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£821,030.40</w:t>
            </w:r>
          </w:p>
        </w:tc>
        <w:tc>
          <w:tcPr>
            <w:tcW w:w="675" w:type="dxa"/>
            <w:tcBorders>
              <w:top w:val="single" w:sz="4" w:space="0" w:color="auto"/>
              <w:left w:val="nil"/>
              <w:bottom w:val="nil"/>
              <w:right w:val="nil"/>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993" w:type="dxa"/>
            <w:tcBorders>
              <w:top w:val="nil"/>
              <w:left w:val="single" w:sz="4" w:space="0" w:color="auto"/>
              <w:bottom w:val="single" w:sz="4" w:space="0" w:color="auto"/>
              <w:right w:val="single" w:sz="4" w:space="0" w:color="auto"/>
            </w:tcBorders>
            <w:shd w:val="clear" w:color="000000" w:fill="FF00FF"/>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£834,739.20</w:t>
            </w:r>
          </w:p>
        </w:tc>
        <w:tc>
          <w:tcPr>
            <w:tcW w:w="709" w:type="dxa"/>
            <w:tcBorders>
              <w:top w:val="single" w:sz="4" w:space="0" w:color="auto"/>
              <w:left w:val="nil"/>
              <w:bottom w:val="nil"/>
              <w:right w:val="nil"/>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992" w:type="dxa"/>
            <w:tcBorders>
              <w:top w:val="nil"/>
              <w:left w:val="single" w:sz="4" w:space="0" w:color="auto"/>
              <w:bottom w:val="single" w:sz="4" w:space="0" w:color="auto"/>
              <w:right w:val="single" w:sz="4" w:space="0" w:color="auto"/>
            </w:tcBorders>
            <w:shd w:val="clear" w:color="000000" w:fill="FF00FF"/>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£849,830.40</w:t>
            </w:r>
          </w:p>
        </w:tc>
        <w:tc>
          <w:tcPr>
            <w:tcW w:w="709" w:type="dxa"/>
            <w:tcBorders>
              <w:top w:val="single" w:sz="4" w:space="0" w:color="auto"/>
              <w:left w:val="nil"/>
              <w:bottom w:val="nil"/>
              <w:right w:val="nil"/>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992" w:type="dxa"/>
            <w:tcBorders>
              <w:top w:val="nil"/>
              <w:left w:val="single" w:sz="4" w:space="0" w:color="auto"/>
              <w:bottom w:val="single" w:sz="4" w:space="0" w:color="auto"/>
              <w:right w:val="single" w:sz="4" w:space="0" w:color="auto"/>
            </w:tcBorders>
            <w:shd w:val="clear" w:color="000000" w:fill="FF00FF"/>
            <w:noWrap/>
            <w:vAlign w:val="bottom"/>
            <w:hideMark/>
          </w:tcPr>
          <w:p w:rsidR="00F65F74" w:rsidRPr="00F65F74" w:rsidRDefault="00F65F74">
            <w:pPr>
              <w:jc w:val="center"/>
              <w:rPr>
                <w:rFonts w:ascii="Arial" w:hAnsi="Arial" w:cs="Arial"/>
                <w:b/>
                <w:bCs/>
                <w:sz w:val="12"/>
                <w:szCs w:val="12"/>
              </w:rPr>
            </w:pPr>
            <w:r w:rsidRPr="00F65F74">
              <w:rPr>
                <w:rFonts w:ascii="Arial" w:hAnsi="Arial" w:cs="Arial"/>
                <w:b/>
                <w:bCs/>
                <w:sz w:val="12"/>
                <w:szCs w:val="12"/>
              </w:rPr>
              <w:t>£849,830.40</w:t>
            </w:r>
          </w:p>
        </w:tc>
        <w:tc>
          <w:tcPr>
            <w:tcW w:w="709" w:type="dxa"/>
            <w:tcBorders>
              <w:top w:val="nil"/>
              <w:left w:val="nil"/>
              <w:bottom w:val="nil"/>
              <w:right w:val="nil"/>
            </w:tcBorders>
            <w:shd w:val="clear" w:color="000000" w:fill="FFFFFF"/>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1700"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sz w:val="12"/>
                <w:szCs w:val="12"/>
              </w:rPr>
            </w:pPr>
          </w:p>
        </w:tc>
      </w:tr>
      <w:tr w:rsidR="00F65F74" w:rsidRPr="00F65F74" w:rsidTr="00567A1F">
        <w:trPr>
          <w:trHeight w:val="58"/>
        </w:trPr>
        <w:tc>
          <w:tcPr>
            <w:tcW w:w="2694" w:type="dxa"/>
            <w:tcBorders>
              <w:top w:val="nil"/>
              <w:left w:val="nil"/>
              <w:bottom w:val="nil"/>
              <w:right w:val="single" w:sz="4" w:space="0" w:color="auto"/>
            </w:tcBorders>
            <w:shd w:val="clear" w:color="auto" w:fill="auto"/>
            <w:vAlign w:val="center"/>
            <w:hideMark/>
          </w:tcPr>
          <w:p w:rsidR="00F65F74" w:rsidRPr="00F65F74" w:rsidRDefault="00F65F74">
            <w:pPr>
              <w:rPr>
                <w:rFonts w:ascii="Arial" w:hAnsi="Arial" w:cs="Arial"/>
                <w:sz w:val="12"/>
                <w:szCs w:val="12"/>
              </w:rPr>
            </w:pPr>
            <w:r w:rsidRPr="00F65F74">
              <w:rPr>
                <w:rFonts w:ascii="Arial" w:hAnsi="Arial" w:cs="Arial"/>
                <w:sz w:val="12"/>
                <w:szCs w:val="12"/>
              </w:rPr>
              <w:t>Approved/Projected Total Precept and Local Tax Grant Funding</w:t>
            </w:r>
          </w:p>
        </w:tc>
        <w:tc>
          <w:tcPr>
            <w:tcW w:w="884" w:type="dxa"/>
            <w:tcBorders>
              <w:top w:val="nil"/>
              <w:left w:val="single" w:sz="4" w:space="0" w:color="auto"/>
              <w:bottom w:val="nil"/>
              <w:right w:val="single" w:sz="4" w:space="0" w:color="auto"/>
            </w:tcBorders>
            <w:shd w:val="clear" w:color="000000" w:fill="C4D79B"/>
            <w:noWrap/>
            <w:vAlign w:val="center"/>
            <w:hideMark/>
          </w:tcPr>
          <w:p w:rsidR="00F65F74" w:rsidRPr="00F65F74" w:rsidRDefault="00F65F74">
            <w:pPr>
              <w:jc w:val="center"/>
              <w:rPr>
                <w:rFonts w:ascii="Arial" w:hAnsi="Arial" w:cs="Arial"/>
                <w:sz w:val="12"/>
                <w:szCs w:val="12"/>
              </w:rPr>
            </w:pPr>
            <w:r w:rsidRPr="00F65F74">
              <w:rPr>
                <w:rFonts w:ascii="Arial" w:hAnsi="Arial" w:cs="Arial"/>
                <w:sz w:val="12"/>
                <w:szCs w:val="12"/>
              </w:rPr>
              <w:t>£809,838.00</w:t>
            </w:r>
          </w:p>
        </w:tc>
        <w:tc>
          <w:tcPr>
            <w:tcW w:w="637" w:type="dxa"/>
            <w:tcBorders>
              <w:top w:val="nil"/>
              <w:left w:val="nil"/>
              <w:bottom w:val="nil"/>
              <w:right w:val="nil"/>
            </w:tcBorders>
            <w:shd w:val="clear" w:color="auto" w:fill="auto"/>
            <w:noWrap/>
            <w:vAlign w:val="center"/>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922" w:type="dxa"/>
            <w:tcBorders>
              <w:top w:val="nil"/>
              <w:left w:val="single" w:sz="4" w:space="0" w:color="auto"/>
              <w:bottom w:val="nil"/>
              <w:right w:val="single" w:sz="4" w:space="0" w:color="auto"/>
            </w:tcBorders>
            <w:shd w:val="clear" w:color="000000" w:fill="FFFF99"/>
            <w:noWrap/>
            <w:vAlign w:val="center"/>
            <w:hideMark/>
          </w:tcPr>
          <w:p w:rsidR="00F65F74" w:rsidRPr="00F65F74" w:rsidRDefault="00F65F74">
            <w:pPr>
              <w:jc w:val="center"/>
              <w:rPr>
                <w:rFonts w:ascii="Arial" w:hAnsi="Arial" w:cs="Arial"/>
                <w:sz w:val="12"/>
                <w:szCs w:val="12"/>
              </w:rPr>
            </w:pPr>
            <w:r w:rsidRPr="00F65F74">
              <w:rPr>
                <w:rFonts w:ascii="Arial" w:hAnsi="Arial" w:cs="Arial"/>
                <w:sz w:val="12"/>
                <w:szCs w:val="12"/>
              </w:rPr>
              <w:t>£813,683.00</w:t>
            </w:r>
          </w:p>
        </w:tc>
        <w:tc>
          <w:tcPr>
            <w:tcW w:w="717" w:type="dxa"/>
            <w:tcBorders>
              <w:top w:val="nil"/>
              <w:left w:val="nil"/>
              <w:bottom w:val="nil"/>
              <w:right w:val="single" w:sz="12" w:space="0" w:color="auto"/>
            </w:tcBorders>
            <w:shd w:val="clear" w:color="auto" w:fill="auto"/>
            <w:noWrap/>
            <w:vAlign w:val="center"/>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884" w:type="dxa"/>
            <w:tcBorders>
              <w:top w:val="nil"/>
              <w:left w:val="nil"/>
              <w:bottom w:val="nil"/>
              <w:right w:val="single" w:sz="4" w:space="0" w:color="auto"/>
            </w:tcBorders>
            <w:shd w:val="clear" w:color="000000" w:fill="9966FF"/>
            <w:noWrap/>
            <w:vAlign w:val="center"/>
            <w:hideMark/>
          </w:tcPr>
          <w:p w:rsidR="00F65F74" w:rsidRPr="00F65F74" w:rsidRDefault="00F65F74">
            <w:pPr>
              <w:jc w:val="center"/>
              <w:rPr>
                <w:rFonts w:ascii="Arial" w:hAnsi="Arial" w:cs="Arial"/>
                <w:sz w:val="12"/>
                <w:szCs w:val="12"/>
              </w:rPr>
            </w:pPr>
            <w:r w:rsidRPr="00F65F74">
              <w:rPr>
                <w:rFonts w:ascii="Arial" w:hAnsi="Arial" w:cs="Arial"/>
                <w:sz w:val="12"/>
                <w:szCs w:val="12"/>
              </w:rPr>
              <w:t>£814,069.00</w:t>
            </w:r>
          </w:p>
        </w:tc>
        <w:tc>
          <w:tcPr>
            <w:tcW w:w="775" w:type="dxa"/>
            <w:tcBorders>
              <w:top w:val="nil"/>
              <w:left w:val="nil"/>
              <w:bottom w:val="nil"/>
              <w:right w:val="single" w:sz="12" w:space="0" w:color="auto"/>
            </w:tcBorders>
            <w:shd w:val="clear" w:color="auto" w:fill="auto"/>
            <w:noWrap/>
            <w:vAlign w:val="center"/>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884" w:type="dxa"/>
            <w:tcBorders>
              <w:top w:val="nil"/>
              <w:left w:val="nil"/>
              <w:bottom w:val="nil"/>
              <w:right w:val="single" w:sz="4" w:space="0" w:color="auto"/>
            </w:tcBorders>
            <w:shd w:val="clear" w:color="000000" w:fill="FF99CC"/>
            <w:noWrap/>
            <w:vAlign w:val="center"/>
            <w:hideMark/>
          </w:tcPr>
          <w:p w:rsidR="00F65F74" w:rsidRPr="00F65F74" w:rsidRDefault="00F65F74">
            <w:pPr>
              <w:jc w:val="center"/>
              <w:rPr>
                <w:rFonts w:ascii="Arial" w:hAnsi="Arial" w:cs="Arial"/>
                <w:sz w:val="12"/>
                <w:szCs w:val="12"/>
              </w:rPr>
            </w:pPr>
            <w:r w:rsidRPr="00F65F74">
              <w:rPr>
                <w:rFonts w:ascii="Arial" w:hAnsi="Arial" w:cs="Arial"/>
                <w:sz w:val="12"/>
                <w:szCs w:val="12"/>
              </w:rPr>
              <w:t>£821,030.40</w:t>
            </w:r>
          </w:p>
        </w:tc>
        <w:tc>
          <w:tcPr>
            <w:tcW w:w="675" w:type="dxa"/>
            <w:tcBorders>
              <w:top w:val="nil"/>
              <w:left w:val="nil"/>
              <w:bottom w:val="nil"/>
              <w:right w:val="single" w:sz="4" w:space="0" w:color="auto"/>
            </w:tcBorders>
            <w:shd w:val="clear" w:color="auto" w:fill="auto"/>
            <w:noWrap/>
            <w:vAlign w:val="center"/>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993" w:type="dxa"/>
            <w:tcBorders>
              <w:top w:val="nil"/>
              <w:left w:val="nil"/>
              <w:bottom w:val="nil"/>
              <w:right w:val="single" w:sz="4" w:space="0" w:color="auto"/>
            </w:tcBorders>
            <w:shd w:val="clear" w:color="000000" w:fill="99CCFF"/>
            <w:noWrap/>
            <w:vAlign w:val="center"/>
            <w:hideMark/>
          </w:tcPr>
          <w:p w:rsidR="00F65F74" w:rsidRPr="00F65F74" w:rsidRDefault="00F65F74">
            <w:pPr>
              <w:jc w:val="center"/>
              <w:rPr>
                <w:rFonts w:ascii="Arial" w:hAnsi="Arial" w:cs="Arial"/>
                <w:sz w:val="12"/>
                <w:szCs w:val="12"/>
              </w:rPr>
            </w:pPr>
            <w:r w:rsidRPr="00F65F74">
              <w:rPr>
                <w:rFonts w:ascii="Arial" w:hAnsi="Arial" w:cs="Arial"/>
                <w:sz w:val="12"/>
                <w:szCs w:val="12"/>
              </w:rPr>
              <w:t>£834,739.20</w:t>
            </w:r>
          </w:p>
        </w:tc>
        <w:tc>
          <w:tcPr>
            <w:tcW w:w="709"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992" w:type="dxa"/>
            <w:tcBorders>
              <w:top w:val="nil"/>
              <w:left w:val="single" w:sz="4" w:space="0" w:color="auto"/>
              <w:bottom w:val="nil"/>
              <w:right w:val="single" w:sz="4" w:space="0" w:color="auto"/>
            </w:tcBorders>
            <w:shd w:val="clear" w:color="000000" w:fill="99CCFF"/>
            <w:noWrap/>
            <w:vAlign w:val="center"/>
            <w:hideMark/>
          </w:tcPr>
          <w:p w:rsidR="00F65F74" w:rsidRPr="00F65F74" w:rsidRDefault="00F65F74">
            <w:pPr>
              <w:jc w:val="center"/>
              <w:rPr>
                <w:rFonts w:ascii="Arial" w:hAnsi="Arial" w:cs="Arial"/>
                <w:sz w:val="12"/>
                <w:szCs w:val="12"/>
              </w:rPr>
            </w:pPr>
            <w:r w:rsidRPr="00F65F74">
              <w:rPr>
                <w:rFonts w:ascii="Arial" w:hAnsi="Arial" w:cs="Arial"/>
                <w:sz w:val="12"/>
                <w:szCs w:val="12"/>
              </w:rPr>
              <w:t>£849,830.40</w:t>
            </w:r>
          </w:p>
        </w:tc>
        <w:tc>
          <w:tcPr>
            <w:tcW w:w="709"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992" w:type="dxa"/>
            <w:tcBorders>
              <w:top w:val="nil"/>
              <w:left w:val="single" w:sz="4" w:space="0" w:color="auto"/>
              <w:bottom w:val="nil"/>
              <w:right w:val="single" w:sz="4" w:space="0" w:color="auto"/>
            </w:tcBorders>
            <w:shd w:val="clear" w:color="000000" w:fill="99CCFF"/>
            <w:noWrap/>
            <w:vAlign w:val="center"/>
            <w:hideMark/>
          </w:tcPr>
          <w:p w:rsidR="00F65F74" w:rsidRPr="00F65F74" w:rsidRDefault="00F65F74">
            <w:pPr>
              <w:jc w:val="center"/>
              <w:rPr>
                <w:rFonts w:ascii="Arial" w:hAnsi="Arial" w:cs="Arial"/>
                <w:sz w:val="12"/>
                <w:szCs w:val="12"/>
              </w:rPr>
            </w:pPr>
            <w:r w:rsidRPr="00F65F74">
              <w:rPr>
                <w:rFonts w:ascii="Arial" w:hAnsi="Arial" w:cs="Arial"/>
                <w:sz w:val="12"/>
                <w:szCs w:val="12"/>
              </w:rPr>
              <w:t>£849,830.40</w:t>
            </w:r>
          </w:p>
        </w:tc>
        <w:tc>
          <w:tcPr>
            <w:tcW w:w="709"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1700"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sz w:val="12"/>
                <w:szCs w:val="12"/>
              </w:rPr>
            </w:pPr>
          </w:p>
        </w:tc>
      </w:tr>
      <w:tr w:rsidR="00F65F74" w:rsidRPr="00F65F74" w:rsidTr="00567A1F">
        <w:trPr>
          <w:trHeight w:val="249"/>
        </w:trPr>
        <w:tc>
          <w:tcPr>
            <w:tcW w:w="2694" w:type="dxa"/>
            <w:tcBorders>
              <w:top w:val="single" w:sz="12" w:space="0" w:color="auto"/>
              <w:left w:val="single" w:sz="12" w:space="0" w:color="auto"/>
              <w:bottom w:val="single" w:sz="12" w:space="0" w:color="auto"/>
              <w:right w:val="nil"/>
            </w:tcBorders>
            <w:shd w:val="clear" w:color="auto" w:fill="auto"/>
            <w:vAlign w:val="bottom"/>
            <w:hideMark/>
          </w:tcPr>
          <w:p w:rsidR="00F65F74" w:rsidRPr="00F65F74" w:rsidRDefault="00F65F74">
            <w:pPr>
              <w:rPr>
                <w:rFonts w:ascii="Arial" w:hAnsi="Arial" w:cs="Arial"/>
                <w:b/>
                <w:bCs/>
                <w:sz w:val="12"/>
                <w:szCs w:val="12"/>
              </w:rPr>
            </w:pPr>
            <w:r w:rsidRPr="00F65F74">
              <w:rPr>
                <w:rFonts w:ascii="Arial" w:hAnsi="Arial" w:cs="Arial"/>
                <w:b/>
                <w:bCs/>
                <w:sz w:val="12"/>
                <w:szCs w:val="12"/>
              </w:rPr>
              <w:t>Projected year end position to C/FWD (excluding shortfall funding from year end reserves)</w:t>
            </w:r>
          </w:p>
        </w:tc>
        <w:tc>
          <w:tcPr>
            <w:tcW w:w="884" w:type="dxa"/>
            <w:tcBorders>
              <w:top w:val="single" w:sz="12" w:space="0" w:color="auto"/>
              <w:left w:val="single" w:sz="4" w:space="0" w:color="auto"/>
              <w:bottom w:val="single" w:sz="12" w:space="0" w:color="auto"/>
              <w:right w:val="single" w:sz="4" w:space="0" w:color="auto"/>
            </w:tcBorders>
            <w:shd w:val="clear" w:color="000000" w:fill="C0C0C0"/>
            <w:noWrap/>
            <w:vAlign w:val="center"/>
            <w:hideMark/>
          </w:tcPr>
          <w:p w:rsidR="00F65F74" w:rsidRPr="00F65F74" w:rsidRDefault="00F65F74">
            <w:pPr>
              <w:jc w:val="center"/>
              <w:rPr>
                <w:rFonts w:ascii="Arial" w:hAnsi="Arial" w:cs="Arial"/>
                <w:b/>
                <w:bCs/>
                <w:color w:val="000000"/>
                <w:sz w:val="12"/>
                <w:szCs w:val="12"/>
              </w:rPr>
            </w:pPr>
            <w:r w:rsidRPr="00F65F74">
              <w:rPr>
                <w:rFonts w:ascii="Arial" w:hAnsi="Arial" w:cs="Arial"/>
                <w:b/>
                <w:bCs/>
                <w:color w:val="000000"/>
                <w:sz w:val="12"/>
                <w:szCs w:val="12"/>
              </w:rPr>
              <w:t>£43,845.34</w:t>
            </w:r>
          </w:p>
        </w:tc>
        <w:tc>
          <w:tcPr>
            <w:tcW w:w="637" w:type="dxa"/>
            <w:tcBorders>
              <w:top w:val="single" w:sz="12" w:space="0" w:color="auto"/>
              <w:left w:val="nil"/>
              <w:bottom w:val="single" w:sz="12" w:space="0" w:color="auto"/>
              <w:right w:val="nil"/>
            </w:tcBorders>
            <w:shd w:val="clear" w:color="auto" w:fill="auto"/>
            <w:noWrap/>
            <w:vAlign w:val="center"/>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 </w:t>
            </w:r>
          </w:p>
        </w:tc>
        <w:tc>
          <w:tcPr>
            <w:tcW w:w="922" w:type="dxa"/>
            <w:tcBorders>
              <w:top w:val="single" w:sz="12" w:space="0" w:color="auto"/>
              <w:left w:val="single" w:sz="4" w:space="0" w:color="auto"/>
              <w:bottom w:val="single" w:sz="12" w:space="0" w:color="auto"/>
              <w:right w:val="single" w:sz="4" w:space="0" w:color="auto"/>
            </w:tcBorders>
            <w:shd w:val="clear" w:color="000000" w:fill="C0C0C0"/>
            <w:noWrap/>
            <w:vAlign w:val="center"/>
            <w:hideMark/>
          </w:tcPr>
          <w:p w:rsidR="00F65F74" w:rsidRPr="00F65F74" w:rsidRDefault="00F65F74">
            <w:pPr>
              <w:jc w:val="center"/>
              <w:rPr>
                <w:rFonts w:ascii="Arial" w:hAnsi="Arial" w:cs="Arial"/>
                <w:b/>
                <w:bCs/>
                <w:color w:val="000000"/>
                <w:sz w:val="12"/>
                <w:szCs w:val="12"/>
              </w:rPr>
            </w:pPr>
            <w:r w:rsidRPr="00F65F74">
              <w:rPr>
                <w:rFonts w:ascii="Arial" w:hAnsi="Arial" w:cs="Arial"/>
                <w:b/>
                <w:bCs/>
                <w:color w:val="000000"/>
                <w:sz w:val="12"/>
                <w:szCs w:val="12"/>
              </w:rPr>
              <w:t>£53,557.35</w:t>
            </w:r>
          </w:p>
        </w:tc>
        <w:tc>
          <w:tcPr>
            <w:tcW w:w="717" w:type="dxa"/>
            <w:tcBorders>
              <w:top w:val="single" w:sz="12" w:space="0" w:color="auto"/>
              <w:left w:val="nil"/>
              <w:bottom w:val="single" w:sz="12" w:space="0" w:color="auto"/>
              <w:right w:val="single" w:sz="12" w:space="0" w:color="auto"/>
            </w:tcBorders>
            <w:shd w:val="clear" w:color="auto" w:fill="auto"/>
            <w:noWrap/>
            <w:vAlign w:val="center"/>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 </w:t>
            </w:r>
          </w:p>
        </w:tc>
        <w:tc>
          <w:tcPr>
            <w:tcW w:w="884" w:type="dxa"/>
            <w:tcBorders>
              <w:top w:val="single" w:sz="12" w:space="0" w:color="auto"/>
              <w:left w:val="nil"/>
              <w:bottom w:val="single" w:sz="12" w:space="0" w:color="auto"/>
              <w:right w:val="single" w:sz="4" w:space="0" w:color="auto"/>
            </w:tcBorders>
            <w:shd w:val="clear" w:color="000000" w:fill="C0C0C0"/>
            <w:noWrap/>
            <w:vAlign w:val="center"/>
            <w:hideMark/>
          </w:tcPr>
          <w:p w:rsidR="00F65F74" w:rsidRPr="00F65F74" w:rsidRDefault="00F65F74">
            <w:pPr>
              <w:jc w:val="center"/>
              <w:rPr>
                <w:rFonts w:ascii="Arial" w:hAnsi="Arial" w:cs="Arial"/>
                <w:b/>
                <w:bCs/>
                <w:color w:val="000000"/>
                <w:sz w:val="12"/>
                <w:szCs w:val="12"/>
              </w:rPr>
            </w:pPr>
            <w:r w:rsidRPr="00F65F74">
              <w:rPr>
                <w:rFonts w:ascii="Arial" w:hAnsi="Arial" w:cs="Arial"/>
                <w:b/>
                <w:bCs/>
                <w:color w:val="000000"/>
                <w:sz w:val="12"/>
                <w:szCs w:val="12"/>
              </w:rPr>
              <w:t>£54,400.66</w:t>
            </w:r>
          </w:p>
        </w:tc>
        <w:tc>
          <w:tcPr>
            <w:tcW w:w="775" w:type="dxa"/>
            <w:tcBorders>
              <w:top w:val="single" w:sz="12" w:space="0" w:color="auto"/>
              <w:left w:val="nil"/>
              <w:bottom w:val="single" w:sz="12" w:space="0" w:color="auto"/>
              <w:right w:val="single" w:sz="12" w:space="0" w:color="auto"/>
            </w:tcBorders>
            <w:shd w:val="clear" w:color="auto" w:fill="auto"/>
            <w:noWrap/>
            <w:vAlign w:val="center"/>
            <w:hideMark/>
          </w:tcPr>
          <w:p w:rsidR="00F65F74" w:rsidRPr="00F65F74" w:rsidRDefault="00F65F74">
            <w:pPr>
              <w:jc w:val="center"/>
              <w:rPr>
                <w:rFonts w:ascii="Arial" w:hAnsi="Arial" w:cs="Arial"/>
                <w:color w:val="000000"/>
                <w:sz w:val="12"/>
                <w:szCs w:val="12"/>
              </w:rPr>
            </w:pPr>
            <w:r w:rsidRPr="00F65F74">
              <w:rPr>
                <w:rFonts w:ascii="Arial" w:hAnsi="Arial" w:cs="Arial"/>
                <w:color w:val="000000"/>
                <w:sz w:val="12"/>
                <w:szCs w:val="12"/>
              </w:rPr>
              <w:t> </w:t>
            </w:r>
          </w:p>
        </w:tc>
        <w:tc>
          <w:tcPr>
            <w:tcW w:w="884" w:type="dxa"/>
            <w:tcBorders>
              <w:top w:val="single" w:sz="12" w:space="0" w:color="auto"/>
              <w:left w:val="nil"/>
              <w:bottom w:val="single" w:sz="12" w:space="0" w:color="auto"/>
              <w:right w:val="single" w:sz="4" w:space="0" w:color="auto"/>
            </w:tcBorders>
            <w:shd w:val="clear" w:color="000000" w:fill="C0C0C0"/>
            <w:noWrap/>
            <w:vAlign w:val="center"/>
            <w:hideMark/>
          </w:tcPr>
          <w:p w:rsidR="00F65F74" w:rsidRPr="00F65F74" w:rsidRDefault="00F65F74">
            <w:pPr>
              <w:jc w:val="center"/>
              <w:rPr>
                <w:rFonts w:ascii="Arial" w:hAnsi="Arial" w:cs="Arial"/>
                <w:b/>
                <w:bCs/>
                <w:color w:val="000000"/>
                <w:sz w:val="12"/>
                <w:szCs w:val="12"/>
              </w:rPr>
            </w:pPr>
            <w:r w:rsidRPr="00F65F74">
              <w:rPr>
                <w:rFonts w:ascii="Arial" w:hAnsi="Arial" w:cs="Arial"/>
                <w:b/>
                <w:bCs/>
                <w:color w:val="000000"/>
                <w:sz w:val="12"/>
                <w:szCs w:val="12"/>
              </w:rPr>
              <w:t>£19,859.67</w:t>
            </w:r>
          </w:p>
        </w:tc>
        <w:tc>
          <w:tcPr>
            <w:tcW w:w="675" w:type="dxa"/>
            <w:tcBorders>
              <w:top w:val="single" w:sz="12" w:space="0" w:color="auto"/>
              <w:left w:val="nil"/>
              <w:bottom w:val="single" w:sz="12" w:space="0" w:color="auto"/>
              <w:right w:val="nil"/>
            </w:tcBorders>
            <w:shd w:val="clear" w:color="auto" w:fill="auto"/>
            <w:noWrap/>
            <w:vAlign w:val="center"/>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993" w:type="dxa"/>
            <w:tcBorders>
              <w:top w:val="single" w:sz="12" w:space="0" w:color="auto"/>
              <w:left w:val="single" w:sz="4" w:space="0" w:color="auto"/>
              <w:bottom w:val="single" w:sz="12" w:space="0" w:color="auto"/>
              <w:right w:val="single" w:sz="4" w:space="0" w:color="auto"/>
            </w:tcBorders>
            <w:shd w:val="clear" w:color="000000" w:fill="C0C0C0"/>
            <w:noWrap/>
            <w:vAlign w:val="center"/>
            <w:hideMark/>
          </w:tcPr>
          <w:p w:rsidR="00F65F74" w:rsidRPr="00F65F74" w:rsidRDefault="00F65F74">
            <w:pPr>
              <w:jc w:val="center"/>
              <w:rPr>
                <w:rFonts w:ascii="Arial" w:hAnsi="Arial" w:cs="Arial"/>
                <w:b/>
                <w:bCs/>
                <w:color w:val="000000"/>
                <w:sz w:val="12"/>
                <w:szCs w:val="12"/>
              </w:rPr>
            </w:pPr>
            <w:r w:rsidRPr="00F65F74">
              <w:rPr>
                <w:rFonts w:ascii="Arial" w:hAnsi="Arial" w:cs="Arial"/>
                <w:b/>
                <w:bCs/>
                <w:color w:val="000000"/>
                <w:sz w:val="12"/>
                <w:szCs w:val="12"/>
              </w:rPr>
              <w:t>£29,991.43</w:t>
            </w:r>
          </w:p>
        </w:tc>
        <w:tc>
          <w:tcPr>
            <w:tcW w:w="709" w:type="dxa"/>
            <w:tcBorders>
              <w:top w:val="single" w:sz="12" w:space="0" w:color="auto"/>
              <w:left w:val="nil"/>
              <w:bottom w:val="single" w:sz="12" w:space="0" w:color="auto"/>
              <w:right w:val="single" w:sz="12" w:space="0" w:color="auto"/>
            </w:tcBorders>
            <w:shd w:val="clear" w:color="auto" w:fill="auto"/>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992" w:type="dxa"/>
            <w:tcBorders>
              <w:top w:val="single" w:sz="12" w:space="0" w:color="auto"/>
              <w:left w:val="single" w:sz="4" w:space="0" w:color="auto"/>
              <w:bottom w:val="single" w:sz="12" w:space="0" w:color="auto"/>
              <w:right w:val="single" w:sz="4" w:space="0" w:color="auto"/>
            </w:tcBorders>
            <w:shd w:val="clear" w:color="000000" w:fill="C0C0C0"/>
            <w:noWrap/>
            <w:vAlign w:val="center"/>
            <w:hideMark/>
          </w:tcPr>
          <w:p w:rsidR="00F65F74" w:rsidRPr="00F65F74" w:rsidRDefault="00F65F74">
            <w:pPr>
              <w:jc w:val="center"/>
              <w:rPr>
                <w:rFonts w:ascii="Arial" w:hAnsi="Arial" w:cs="Arial"/>
                <w:b/>
                <w:bCs/>
                <w:color w:val="000000"/>
                <w:sz w:val="12"/>
                <w:szCs w:val="12"/>
              </w:rPr>
            </w:pPr>
            <w:r w:rsidRPr="00F65F74">
              <w:rPr>
                <w:rFonts w:ascii="Arial" w:hAnsi="Arial" w:cs="Arial"/>
                <w:b/>
                <w:bCs/>
                <w:color w:val="000000"/>
                <w:sz w:val="12"/>
                <w:szCs w:val="12"/>
              </w:rPr>
              <w:t>£28,247.96</w:t>
            </w:r>
          </w:p>
        </w:tc>
        <w:tc>
          <w:tcPr>
            <w:tcW w:w="709" w:type="dxa"/>
            <w:tcBorders>
              <w:top w:val="single" w:sz="12" w:space="0" w:color="auto"/>
              <w:left w:val="nil"/>
              <w:bottom w:val="single" w:sz="12" w:space="0" w:color="auto"/>
              <w:right w:val="single" w:sz="12" w:space="0" w:color="auto"/>
            </w:tcBorders>
            <w:shd w:val="clear" w:color="auto" w:fill="auto"/>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992" w:type="dxa"/>
            <w:tcBorders>
              <w:top w:val="single" w:sz="12" w:space="0" w:color="auto"/>
              <w:left w:val="single" w:sz="4" w:space="0" w:color="auto"/>
              <w:bottom w:val="single" w:sz="12" w:space="0" w:color="auto"/>
              <w:right w:val="single" w:sz="4" w:space="0" w:color="auto"/>
            </w:tcBorders>
            <w:shd w:val="clear" w:color="000000" w:fill="C0C0C0"/>
            <w:noWrap/>
            <w:vAlign w:val="center"/>
            <w:hideMark/>
          </w:tcPr>
          <w:p w:rsidR="00F65F74" w:rsidRPr="00F65F74" w:rsidRDefault="00F65F74">
            <w:pPr>
              <w:jc w:val="center"/>
              <w:rPr>
                <w:rFonts w:ascii="Arial" w:hAnsi="Arial" w:cs="Arial"/>
                <w:b/>
                <w:bCs/>
                <w:color w:val="000000"/>
                <w:sz w:val="12"/>
                <w:szCs w:val="12"/>
              </w:rPr>
            </w:pPr>
            <w:r w:rsidRPr="00F65F74">
              <w:rPr>
                <w:rFonts w:ascii="Arial" w:hAnsi="Arial" w:cs="Arial"/>
                <w:b/>
                <w:bCs/>
                <w:color w:val="000000"/>
                <w:sz w:val="12"/>
                <w:szCs w:val="12"/>
              </w:rPr>
              <w:t>£10,527.43</w:t>
            </w:r>
          </w:p>
        </w:tc>
        <w:tc>
          <w:tcPr>
            <w:tcW w:w="709" w:type="dxa"/>
            <w:tcBorders>
              <w:top w:val="single" w:sz="12" w:space="0" w:color="auto"/>
              <w:left w:val="nil"/>
              <w:bottom w:val="single" w:sz="12" w:space="0" w:color="auto"/>
              <w:right w:val="single" w:sz="12" w:space="0" w:color="auto"/>
            </w:tcBorders>
            <w:shd w:val="clear" w:color="auto" w:fill="auto"/>
            <w:noWrap/>
            <w:vAlign w:val="bottom"/>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1700" w:type="dxa"/>
            <w:tcBorders>
              <w:top w:val="nil"/>
              <w:left w:val="nil"/>
              <w:bottom w:val="nil"/>
              <w:right w:val="nil"/>
            </w:tcBorders>
            <w:shd w:val="clear" w:color="000000" w:fill="FFFFFF"/>
            <w:noWrap/>
            <w:vAlign w:val="bottom"/>
            <w:hideMark/>
          </w:tcPr>
          <w:p w:rsidR="00F65F74" w:rsidRPr="00F65F74" w:rsidRDefault="00F65F74">
            <w:pPr>
              <w:rPr>
                <w:rFonts w:ascii="Arial" w:hAnsi="Arial" w:cs="Arial"/>
                <w:sz w:val="12"/>
                <w:szCs w:val="12"/>
              </w:rPr>
            </w:pPr>
            <w:r w:rsidRPr="00F65F74">
              <w:rPr>
                <w:rFonts w:ascii="Arial" w:hAnsi="Arial" w:cs="Arial"/>
                <w:sz w:val="12"/>
                <w:szCs w:val="12"/>
              </w:rPr>
              <w:t> </w:t>
            </w:r>
          </w:p>
        </w:tc>
      </w:tr>
      <w:tr w:rsidR="00F65F74" w:rsidRPr="00F65F74" w:rsidTr="00567A1F">
        <w:trPr>
          <w:trHeight w:val="85"/>
        </w:trPr>
        <w:tc>
          <w:tcPr>
            <w:tcW w:w="2694" w:type="dxa"/>
            <w:tcBorders>
              <w:top w:val="nil"/>
              <w:left w:val="nil"/>
              <w:bottom w:val="nil"/>
              <w:right w:val="nil"/>
            </w:tcBorders>
            <w:shd w:val="clear" w:color="auto" w:fill="auto"/>
            <w:noWrap/>
            <w:vAlign w:val="bottom"/>
            <w:hideMark/>
          </w:tcPr>
          <w:p w:rsidR="00F65F74" w:rsidRPr="00F65F74" w:rsidRDefault="00F65F74">
            <w:pPr>
              <w:rPr>
                <w:rFonts w:ascii="Arial" w:hAnsi="Arial" w:cs="Arial"/>
                <w:sz w:val="12"/>
                <w:szCs w:val="12"/>
              </w:rPr>
            </w:pPr>
          </w:p>
        </w:tc>
        <w:tc>
          <w:tcPr>
            <w:tcW w:w="1521" w:type="dxa"/>
            <w:gridSpan w:val="2"/>
            <w:tcBorders>
              <w:top w:val="single" w:sz="12" w:space="0" w:color="auto"/>
              <w:left w:val="nil"/>
              <w:bottom w:val="nil"/>
              <w:right w:val="nil"/>
            </w:tcBorders>
            <w:shd w:val="clear" w:color="000000" w:fill="FFFFFF"/>
            <w:vAlign w:val="center"/>
            <w:hideMark/>
          </w:tcPr>
          <w:p w:rsidR="00F65F74" w:rsidRPr="00F65F74" w:rsidRDefault="00F65F74">
            <w:pPr>
              <w:jc w:val="center"/>
              <w:rPr>
                <w:rFonts w:ascii="Arial" w:hAnsi="Arial" w:cs="Arial"/>
                <w:sz w:val="12"/>
                <w:szCs w:val="12"/>
              </w:rPr>
            </w:pPr>
            <w:r w:rsidRPr="00F65F74">
              <w:rPr>
                <w:rFonts w:ascii="Arial" w:hAnsi="Arial" w:cs="Arial"/>
                <w:sz w:val="12"/>
                <w:szCs w:val="12"/>
              </w:rPr>
              <w:t> </w:t>
            </w:r>
          </w:p>
        </w:tc>
        <w:tc>
          <w:tcPr>
            <w:tcW w:w="1639" w:type="dxa"/>
            <w:gridSpan w:val="2"/>
            <w:tcBorders>
              <w:top w:val="nil"/>
              <w:left w:val="single" w:sz="4" w:space="0" w:color="auto"/>
              <w:bottom w:val="single" w:sz="4" w:space="0" w:color="auto"/>
              <w:right w:val="single" w:sz="12" w:space="0" w:color="000000"/>
            </w:tcBorders>
            <w:shd w:val="clear" w:color="000000" w:fill="FFFF99"/>
            <w:vAlign w:val="center"/>
            <w:hideMark/>
          </w:tcPr>
          <w:p w:rsidR="00F65F74" w:rsidRPr="00F65F74" w:rsidRDefault="00F65F74">
            <w:pPr>
              <w:jc w:val="center"/>
              <w:rPr>
                <w:rFonts w:ascii="Arial" w:hAnsi="Arial" w:cs="Arial"/>
                <w:sz w:val="12"/>
                <w:szCs w:val="12"/>
              </w:rPr>
            </w:pPr>
            <w:r w:rsidRPr="00F65F74">
              <w:rPr>
                <w:rFonts w:ascii="Arial" w:hAnsi="Arial" w:cs="Arial"/>
                <w:sz w:val="12"/>
                <w:szCs w:val="12"/>
              </w:rPr>
              <w:t xml:space="preserve">The Precept &amp; LCTR figures are based upon approved figures provided by </w:t>
            </w:r>
            <w:proofErr w:type="spellStart"/>
            <w:r w:rsidRPr="00F65F74">
              <w:rPr>
                <w:rFonts w:ascii="Arial" w:hAnsi="Arial" w:cs="Arial"/>
                <w:sz w:val="12"/>
                <w:szCs w:val="12"/>
              </w:rPr>
              <w:t>Sth</w:t>
            </w:r>
            <w:proofErr w:type="spellEnd"/>
            <w:r w:rsidRPr="00F65F74">
              <w:rPr>
                <w:rFonts w:ascii="Arial" w:hAnsi="Arial" w:cs="Arial"/>
                <w:sz w:val="12"/>
                <w:szCs w:val="12"/>
              </w:rPr>
              <w:t xml:space="preserve"> Glos 13/1/15. The Precept was approved by Council in January 2015 </w:t>
            </w:r>
          </w:p>
        </w:tc>
        <w:tc>
          <w:tcPr>
            <w:tcW w:w="1659" w:type="dxa"/>
            <w:gridSpan w:val="2"/>
            <w:tcBorders>
              <w:top w:val="nil"/>
              <w:left w:val="nil"/>
              <w:bottom w:val="single" w:sz="12" w:space="0" w:color="auto"/>
              <w:right w:val="single" w:sz="12" w:space="0" w:color="000000"/>
            </w:tcBorders>
            <w:shd w:val="clear" w:color="000000" w:fill="FABF8F"/>
            <w:vAlign w:val="center"/>
            <w:hideMark/>
          </w:tcPr>
          <w:p w:rsidR="00F65F74" w:rsidRPr="00F65F74" w:rsidRDefault="00F65F74">
            <w:pPr>
              <w:jc w:val="center"/>
              <w:rPr>
                <w:rFonts w:ascii="Arial" w:hAnsi="Arial" w:cs="Arial"/>
                <w:sz w:val="12"/>
                <w:szCs w:val="12"/>
              </w:rPr>
            </w:pPr>
            <w:r w:rsidRPr="00F65F74">
              <w:rPr>
                <w:rFonts w:ascii="Arial" w:hAnsi="Arial" w:cs="Arial"/>
                <w:sz w:val="12"/>
                <w:szCs w:val="12"/>
              </w:rPr>
              <w:t xml:space="preserve">The Precept and LCTR figures are based upon approved figures provided by </w:t>
            </w:r>
            <w:proofErr w:type="spellStart"/>
            <w:r w:rsidRPr="00F65F74">
              <w:rPr>
                <w:rFonts w:ascii="Arial" w:hAnsi="Arial" w:cs="Arial"/>
                <w:sz w:val="12"/>
                <w:szCs w:val="12"/>
              </w:rPr>
              <w:t>Sth</w:t>
            </w:r>
            <w:proofErr w:type="spellEnd"/>
            <w:r w:rsidRPr="00F65F74">
              <w:rPr>
                <w:rFonts w:ascii="Arial" w:hAnsi="Arial" w:cs="Arial"/>
                <w:sz w:val="12"/>
                <w:szCs w:val="12"/>
              </w:rPr>
              <w:t xml:space="preserve"> Glos in January 2016. The precept was approved by Council in November 2015 with final approval in January 2016. </w:t>
            </w:r>
          </w:p>
        </w:tc>
        <w:tc>
          <w:tcPr>
            <w:tcW w:w="1559" w:type="dxa"/>
            <w:gridSpan w:val="2"/>
            <w:tcBorders>
              <w:top w:val="nil"/>
              <w:left w:val="nil"/>
              <w:bottom w:val="single" w:sz="4" w:space="0" w:color="auto"/>
              <w:right w:val="single" w:sz="4" w:space="0" w:color="000000"/>
            </w:tcBorders>
            <w:shd w:val="clear" w:color="000000" w:fill="FF99CC"/>
            <w:vAlign w:val="center"/>
            <w:hideMark/>
          </w:tcPr>
          <w:p w:rsidR="00F65F74" w:rsidRPr="00F65F74" w:rsidRDefault="00F65F74">
            <w:pPr>
              <w:jc w:val="center"/>
              <w:rPr>
                <w:rFonts w:ascii="Arial" w:hAnsi="Arial" w:cs="Arial"/>
                <w:sz w:val="12"/>
                <w:szCs w:val="12"/>
              </w:rPr>
            </w:pPr>
            <w:r w:rsidRPr="00F65F74">
              <w:rPr>
                <w:rFonts w:ascii="Arial" w:hAnsi="Arial" w:cs="Arial"/>
                <w:sz w:val="12"/>
                <w:szCs w:val="12"/>
              </w:rPr>
              <w:t xml:space="preserve">This projection assumes a 0.5% precept increase for 2017/18 and a </w:t>
            </w:r>
            <w:proofErr w:type="spellStart"/>
            <w:r w:rsidRPr="00F65F74">
              <w:rPr>
                <w:rFonts w:ascii="Arial" w:hAnsi="Arial" w:cs="Arial"/>
                <w:sz w:val="12"/>
                <w:szCs w:val="12"/>
              </w:rPr>
              <w:t>Sth</w:t>
            </w:r>
            <w:proofErr w:type="spellEnd"/>
            <w:r w:rsidRPr="00F65F74">
              <w:rPr>
                <w:rFonts w:ascii="Arial" w:hAnsi="Arial" w:cs="Arial"/>
                <w:sz w:val="12"/>
                <w:szCs w:val="12"/>
              </w:rPr>
              <w:t xml:space="preserve"> Glos projected tax base whilst BSTC assume the LCTR will reduced to nil </w:t>
            </w:r>
            <w:proofErr w:type="spellStart"/>
            <w:r w:rsidRPr="00F65F74">
              <w:rPr>
                <w:rFonts w:ascii="Arial" w:hAnsi="Arial" w:cs="Arial"/>
                <w:sz w:val="12"/>
                <w:szCs w:val="12"/>
              </w:rPr>
              <w:t>wef</w:t>
            </w:r>
            <w:proofErr w:type="spellEnd"/>
            <w:r w:rsidRPr="00F65F74">
              <w:rPr>
                <w:rFonts w:ascii="Arial" w:hAnsi="Arial" w:cs="Arial"/>
                <w:sz w:val="12"/>
                <w:szCs w:val="12"/>
              </w:rPr>
              <w:t xml:space="preserve"> 2017/18. SGC forecast the LCTR as £11,966 - These assumptions will be considered by Council in January 2017</w:t>
            </w:r>
          </w:p>
        </w:tc>
        <w:tc>
          <w:tcPr>
            <w:tcW w:w="1702" w:type="dxa"/>
            <w:gridSpan w:val="2"/>
            <w:tcBorders>
              <w:top w:val="nil"/>
              <w:left w:val="nil"/>
              <w:bottom w:val="single" w:sz="4" w:space="0" w:color="auto"/>
              <w:right w:val="single" w:sz="4" w:space="0" w:color="000000"/>
            </w:tcBorders>
            <w:shd w:val="clear" w:color="000000" w:fill="8DB4E2"/>
            <w:vAlign w:val="center"/>
            <w:hideMark/>
          </w:tcPr>
          <w:p w:rsidR="00F65F74" w:rsidRPr="00F65F74" w:rsidRDefault="00F65F74">
            <w:pPr>
              <w:jc w:val="center"/>
              <w:rPr>
                <w:rFonts w:ascii="Arial" w:hAnsi="Arial" w:cs="Arial"/>
                <w:sz w:val="12"/>
                <w:szCs w:val="12"/>
              </w:rPr>
            </w:pPr>
            <w:r w:rsidRPr="00F65F74">
              <w:rPr>
                <w:rFonts w:ascii="Arial" w:hAnsi="Arial" w:cs="Arial"/>
                <w:sz w:val="12"/>
                <w:szCs w:val="12"/>
              </w:rPr>
              <w:t xml:space="preserve">This projection assumes a 0.5% precept increase for 2018/19 and a </w:t>
            </w:r>
            <w:proofErr w:type="spellStart"/>
            <w:r w:rsidRPr="00F65F74">
              <w:rPr>
                <w:rFonts w:ascii="Arial" w:hAnsi="Arial" w:cs="Arial"/>
                <w:sz w:val="12"/>
                <w:szCs w:val="12"/>
              </w:rPr>
              <w:t>Sth</w:t>
            </w:r>
            <w:proofErr w:type="spellEnd"/>
            <w:r w:rsidRPr="00F65F74">
              <w:rPr>
                <w:rFonts w:ascii="Arial" w:hAnsi="Arial" w:cs="Arial"/>
                <w:sz w:val="12"/>
                <w:szCs w:val="12"/>
              </w:rPr>
              <w:t xml:space="preserve"> Glos projected tax base whilst BSTC assume the LCTR will reduced to nil </w:t>
            </w:r>
            <w:proofErr w:type="spellStart"/>
            <w:r w:rsidRPr="00F65F74">
              <w:rPr>
                <w:rFonts w:ascii="Arial" w:hAnsi="Arial" w:cs="Arial"/>
                <w:sz w:val="12"/>
                <w:szCs w:val="12"/>
              </w:rPr>
              <w:t>wef</w:t>
            </w:r>
            <w:proofErr w:type="spellEnd"/>
            <w:r w:rsidRPr="00F65F74">
              <w:rPr>
                <w:rFonts w:ascii="Arial" w:hAnsi="Arial" w:cs="Arial"/>
                <w:sz w:val="12"/>
                <w:szCs w:val="12"/>
              </w:rPr>
              <w:t xml:space="preserve"> 2017/18. SGC forecast the LCTR as £7,945 - These assumptions will be considered by Council in January 2018</w:t>
            </w:r>
          </w:p>
        </w:tc>
        <w:tc>
          <w:tcPr>
            <w:tcW w:w="1701" w:type="dxa"/>
            <w:gridSpan w:val="2"/>
            <w:tcBorders>
              <w:top w:val="nil"/>
              <w:left w:val="nil"/>
              <w:bottom w:val="single" w:sz="4" w:space="0" w:color="auto"/>
              <w:right w:val="single" w:sz="4" w:space="0" w:color="000000"/>
            </w:tcBorders>
            <w:shd w:val="clear" w:color="000000" w:fill="CC99FF"/>
            <w:vAlign w:val="center"/>
            <w:hideMark/>
          </w:tcPr>
          <w:p w:rsidR="00F65F74" w:rsidRPr="00F65F74" w:rsidRDefault="00F65F74">
            <w:pPr>
              <w:jc w:val="center"/>
              <w:rPr>
                <w:rFonts w:ascii="Arial" w:hAnsi="Arial" w:cs="Arial"/>
                <w:sz w:val="12"/>
                <w:szCs w:val="12"/>
              </w:rPr>
            </w:pPr>
            <w:r w:rsidRPr="00F65F74">
              <w:rPr>
                <w:rFonts w:ascii="Arial" w:hAnsi="Arial" w:cs="Arial"/>
                <w:sz w:val="12"/>
                <w:szCs w:val="12"/>
              </w:rPr>
              <w:t xml:space="preserve">This projection assumes a 0.5% precept increase for 2019/20 and + </w:t>
            </w:r>
            <w:proofErr w:type="spellStart"/>
            <w:r w:rsidRPr="00F65F74">
              <w:rPr>
                <w:rFonts w:ascii="Arial" w:hAnsi="Arial" w:cs="Arial"/>
                <w:sz w:val="12"/>
                <w:szCs w:val="12"/>
              </w:rPr>
              <w:t>Sth</w:t>
            </w:r>
            <w:proofErr w:type="spellEnd"/>
            <w:r w:rsidRPr="00F65F74">
              <w:rPr>
                <w:rFonts w:ascii="Arial" w:hAnsi="Arial" w:cs="Arial"/>
                <w:sz w:val="12"/>
                <w:szCs w:val="12"/>
              </w:rPr>
              <w:t xml:space="preserve"> Glos projected tax base for 2019/20 + SGC projected £0 LCTR- These assumptions will be considered by Council in January 2019</w:t>
            </w:r>
          </w:p>
        </w:tc>
        <w:tc>
          <w:tcPr>
            <w:tcW w:w="1701" w:type="dxa"/>
            <w:gridSpan w:val="2"/>
            <w:tcBorders>
              <w:top w:val="nil"/>
              <w:left w:val="nil"/>
              <w:bottom w:val="single" w:sz="4" w:space="0" w:color="auto"/>
              <w:right w:val="single" w:sz="4" w:space="0" w:color="000000"/>
            </w:tcBorders>
            <w:shd w:val="clear" w:color="000000" w:fill="EBF1DE"/>
            <w:vAlign w:val="center"/>
            <w:hideMark/>
          </w:tcPr>
          <w:p w:rsidR="00F65F74" w:rsidRPr="00F65F74" w:rsidRDefault="00F65F74">
            <w:pPr>
              <w:jc w:val="center"/>
              <w:rPr>
                <w:rFonts w:ascii="Arial" w:hAnsi="Arial" w:cs="Arial"/>
                <w:sz w:val="12"/>
                <w:szCs w:val="12"/>
              </w:rPr>
            </w:pPr>
            <w:r w:rsidRPr="00F65F74">
              <w:rPr>
                <w:rFonts w:ascii="Arial" w:hAnsi="Arial" w:cs="Arial"/>
                <w:sz w:val="12"/>
                <w:szCs w:val="12"/>
              </w:rPr>
              <w:t xml:space="preserve">This projection assumes a 0.5% precept increase for 2020/21 and  + </w:t>
            </w:r>
            <w:proofErr w:type="spellStart"/>
            <w:r w:rsidRPr="00F65F74">
              <w:rPr>
                <w:rFonts w:ascii="Arial" w:hAnsi="Arial" w:cs="Arial"/>
                <w:sz w:val="12"/>
                <w:szCs w:val="12"/>
              </w:rPr>
              <w:t>Sth</w:t>
            </w:r>
            <w:proofErr w:type="spellEnd"/>
            <w:r w:rsidRPr="00F65F74">
              <w:rPr>
                <w:rFonts w:ascii="Arial" w:hAnsi="Arial" w:cs="Arial"/>
                <w:sz w:val="12"/>
                <w:szCs w:val="12"/>
              </w:rPr>
              <w:t xml:space="preserve"> Glos projected tax base for 2019/20 c/</w:t>
            </w:r>
            <w:proofErr w:type="spellStart"/>
            <w:r w:rsidRPr="00F65F74">
              <w:rPr>
                <w:rFonts w:ascii="Arial" w:hAnsi="Arial" w:cs="Arial"/>
                <w:sz w:val="12"/>
                <w:szCs w:val="12"/>
              </w:rPr>
              <w:t>fwd</w:t>
            </w:r>
            <w:proofErr w:type="spellEnd"/>
            <w:r w:rsidRPr="00F65F74">
              <w:rPr>
                <w:rFonts w:ascii="Arial" w:hAnsi="Arial" w:cs="Arial"/>
                <w:sz w:val="12"/>
                <w:szCs w:val="12"/>
              </w:rPr>
              <w:t xml:space="preserve"> + SGC projected £0 LCTR - These assumptions will be considered by Council in January 2020</w:t>
            </w:r>
          </w:p>
        </w:tc>
        <w:tc>
          <w:tcPr>
            <w:tcW w:w="1700"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sz w:val="12"/>
                <w:szCs w:val="12"/>
              </w:rPr>
            </w:pPr>
          </w:p>
        </w:tc>
      </w:tr>
      <w:tr w:rsidR="00F65F74" w:rsidRPr="00F65F74" w:rsidTr="00567A1F">
        <w:trPr>
          <w:trHeight w:val="38"/>
        </w:trPr>
        <w:tc>
          <w:tcPr>
            <w:tcW w:w="2694" w:type="dxa"/>
            <w:tcBorders>
              <w:top w:val="nil"/>
              <w:left w:val="nil"/>
              <w:bottom w:val="nil"/>
              <w:right w:val="nil"/>
            </w:tcBorders>
            <w:shd w:val="clear" w:color="auto" w:fill="auto"/>
            <w:noWrap/>
            <w:vAlign w:val="bottom"/>
            <w:hideMark/>
          </w:tcPr>
          <w:p w:rsidR="00F65F74" w:rsidRPr="00F65F74" w:rsidRDefault="00F65F74">
            <w:pPr>
              <w:rPr>
                <w:rFonts w:ascii="Arial" w:hAnsi="Arial" w:cs="Arial"/>
                <w:b/>
                <w:bCs/>
                <w:color w:val="000000"/>
                <w:sz w:val="12"/>
                <w:szCs w:val="12"/>
              </w:rPr>
            </w:pPr>
            <w:r w:rsidRPr="00F65F74">
              <w:rPr>
                <w:rFonts w:ascii="Arial" w:hAnsi="Arial" w:cs="Arial"/>
                <w:b/>
                <w:bCs/>
                <w:color w:val="000000"/>
                <w:sz w:val="12"/>
                <w:szCs w:val="12"/>
              </w:rPr>
              <w:t>NOTE</w:t>
            </w:r>
          </w:p>
        </w:tc>
        <w:tc>
          <w:tcPr>
            <w:tcW w:w="884" w:type="dxa"/>
            <w:tcBorders>
              <w:top w:val="nil"/>
              <w:left w:val="nil"/>
              <w:bottom w:val="nil"/>
              <w:right w:val="nil"/>
            </w:tcBorders>
            <w:shd w:val="clear" w:color="auto" w:fill="auto"/>
            <w:vAlign w:val="bottom"/>
            <w:hideMark/>
          </w:tcPr>
          <w:p w:rsidR="00F65F74" w:rsidRPr="00F65F74" w:rsidRDefault="00F65F74">
            <w:pPr>
              <w:rPr>
                <w:rFonts w:ascii="Arial" w:hAnsi="Arial" w:cs="Arial"/>
                <w:b/>
                <w:bCs/>
                <w:color w:val="000000"/>
                <w:sz w:val="12"/>
                <w:szCs w:val="12"/>
              </w:rPr>
            </w:pPr>
          </w:p>
        </w:tc>
        <w:tc>
          <w:tcPr>
            <w:tcW w:w="637"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sz w:val="12"/>
                <w:szCs w:val="12"/>
              </w:rPr>
            </w:pPr>
          </w:p>
        </w:tc>
        <w:tc>
          <w:tcPr>
            <w:tcW w:w="922" w:type="dxa"/>
            <w:tcBorders>
              <w:top w:val="nil"/>
              <w:left w:val="nil"/>
              <w:bottom w:val="nil"/>
              <w:right w:val="nil"/>
            </w:tcBorders>
            <w:shd w:val="clear" w:color="auto" w:fill="auto"/>
            <w:vAlign w:val="bottom"/>
            <w:hideMark/>
          </w:tcPr>
          <w:p w:rsidR="00F65F74" w:rsidRPr="00F65F74" w:rsidRDefault="00F65F74">
            <w:pPr>
              <w:rPr>
                <w:rFonts w:ascii="Arial" w:hAnsi="Arial" w:cs="Arial"/>
                <w:sz w:val="12"/>
                <w:szCs w:val="12"/>
              </w:rPr>
            </w:pPr>
          </w:p>
        </w:tc>
        <w:tc>
          <w:tcPr>
            <w:tcW w:w="717"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sz w:val="12"/>
                <w:szCs w:val="12"/>
              </w:rPr>
            </w:pPr>
          </w:p>
        </w:tc>
        <w:tc>
          <w:tcPr>
            <w:tcW w:w="884" w:type="dxa"/>
            <w:tcBorders>
              <w:top w:val="nil"/>
              <w:left w:val="nil"/>
              <w:bottom w:val="nil"/>
              <w:right w:val="nil"/>
            </w:tcBorders>
            <w:shd w:val="clear" w:color="auto" w:fill="auto"/>
            <w:vAlign w:val="bottom"/>
            <w:hideMark/>
          </w:tcPr>
          <w:p w:rsidR="00F65F74" w:rsidRPr="00F65F74" w:rsidRDefault="00F65F74">
            <w:pPr>
              <w:rPr>
                <w:rFonts w:ascii="Arial" w:hAnsi="Arial" w:cs="Arial"/>
                <w:sz w:val="12"/>
                <w:szCs w:val="12"/>
              </w:rPr>
            </w:pPr>
          </w:p>
        </w:tc>
        <w:tc>
          <w:tcPr>
            <w:tcW w:w="775"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sz w:val="12"/>
                <w:szCs w:val="12"/>
              </w:rPr>
            </w:pPr>
          </w:p>
        </w:tc>
        <w:tc>
          <w:tcPr>
            <w:tcW w:w="884" w:type="dxa"/>
            <w:tcBorders>
              <w:top w:val="nil"/>
              <w:left w:val="nil"/>
              <w:bottom w:val="nil"/>
              <w:right w:val="nil"/>
            </w:tcBorders>
            <w:shd w:val="clear" w:color="auto" w:fill="auto"/>
            <w:vAlign w:val="bottom"/>
            <w:hideMark/>
          </w:tcPr>
          <w:p w:rsidR="00F65F74" w:rsidRPr="00F65F74" w:rsidRDefault="00F65F74">
            <w:pPr>
              <w:rPr>
                <w:rFonts w:ascii="Arial" w:hAnsi="Arial" w:cs="Arial"/>
                <w:sz w:val="12"/>
                <w:szCs w:val="12"/>
              </w:rPr>
            </w:pPr>
          </w:p>
        </w:tc>
        <w:tc>
          <w:tcPr>
            <w:tcW w:w="675"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sz w:val="12"/>
                <w:szCs w:val="12"/>
              </w:rPr>
            </w:pPr>
          </w:p>
        </w:tc>
        <w:tc>
          <w:tcPr>
            <w:tcW w:w="993" w:type="dxa"/>
            <w:tcBorders>
              <w:top w:val="nil"/>
              <w:left w:val="nil"/>
              <w:bottom w:val="nil"/>
              <w:right w:val="nil"/>
            </w:tcBorders>
            <w:shd w:val="clear" w:color="auto" w:fill="auto"/>
            <w:vAlign w:val="bottom"/>
            <w:hideMark/>
          </w:tcPr>
          <w:p w:rsidR="00F65F74" w:rsidRPr="00F65F74" w:rsidRDefault="00F65F74">
            <w:pPr>
              <w:rPr>
                <w:rFonts w:ascii="Arial" w:hAnsi="Arial" w:cs="Arial"/>
                <w:sz w:val="12"/>
                <w:szCs w:val="12"/>
              </w:rPr>
            </w:pPr>
          </w:p>
        </w:tc>
        <w:tc>
          <w:tcPr>
            <w:tcW w:w="709"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sz w:val="12"/>
                <w:szCs w:val="12"/>
              </w:rPr>
            </w:pPr>
          </w:p>
        </w:tc>
        <w:tc>
          <w:tcPr>
            <w:tcW w:w="992" w:type="dxa"/>
            <w:tcBorders>
              <w:top w:val="nil"/>
              <w:left w:val="nil"/>
              <w:bottom w:val="nil"/>
              <w:right w:val="nil"/>
            </w:tcBorders>
            <w:shd w:val="clear" w:color="auto" w:fill="auto"/>
            <w:vAlign w:val="bottom"/>
            <w:hideMark/>
          </w:tcPr>
          <w:p w:rsidR="00F65F74" w:rsidRPr="00F65F74" w:rsidRDefault="00F65F74">
            <w:pPr>
              <w:rPr>
                <w:rFonts w:ascii="Arial" w:hAnsi="Arial" w:cs="Arial"/>
                <w:sz w:val="12"/>
                <w:szCs w:val="12"/>
              </w:rPr>
            </w:pPr>
          </w:p>
        </w:tc>
        <w:tc>
          <w:tcPr>
            <w:tcW w:w="709"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sz w:val="12"/>
                <w:szCs w:val="12"/>
              </w:rPr>
            </w:pPr>
          </w:p>
        </w:tc>
        <w:tc>
          <w:tcPr>
            <w:tcW w:w="992" w:type="dxa"/>
            <w:tcBorders>
              <w:top w:val="nil"/>
              <w:left w:val="nil"/>
              <w:bottom w:val="nil"/>
              <w:right w:val="nil"/>
            </w:tcBorders>
            <w:shd w:val="clear" w:color="auto" w:fill="auto"/>
            <w:vAlign w:val="bottom"/>
            <w:hideMark/>
          </w:tcPr>
          <w:p w:rsidR="00F65F74" w:rsidRPr="00F65F74" w:rsidRDefault="00F65F74">
            <w:pPr>
              <w:rPr>
                <w:rFonts w:ascii="Arial" w:hAnsi="Arial" w:cs="Arial"/>
                <w:sz w:val="12"/>
                <w:szCs w:val="12"/>
              </w:rPr>
            </w:pPr>
          </w:p>
        </w:tc>
        <w:tc>
          <w:tcPr>
            <w:tcW w:w="709" w:type="dxa"/>
            <w:tcBorders>
              <w:top w:val="nil"/>
              <w:left w:val="nil"/>
              <w:bottom w:val="nil"/>
              <w:right w:val="nil"/>
            </w:tcBorders>
            <w:shd w:val="clear" w:color="auto" w:fill="auto"/>
            <w:noWrap/>
            <w:vAlign w:val="bottom"/>
            <w:hideMark/>
          </w:tcPr>
          <w:p w:rsidR="00F65F74" w:rsidRPr="00F65F74" w:rsidRDefault="00F65F74">
            <w:pPr>
              <w:jc w:val="center"/>
              <w:rPr>
                <w:rFonts w:ascii="Arial" w:hAnsi="Arial" w:cs="Arial"/>
                <w:sz w:val="12"/>
                <w:szCs w:val="12"/>
              </w:rPr>
            </w:pPr>
          </w:p>
        </w:tc>
        <w:tc>
          <w:tcPr>
            <w:tcW w:w="1700" w:type="dxa"/>
            <w:tcBorders>
              <w:top w:val="nil"/>
              <w:left w:val="nil"/>
              <w:bottom w:val="nil"/>
              <w:right w:val="nil"/>
            </w:tcBorders>
            <w:shd w:val="clear" w:color="auto" w:fill="auto"/>
            <w:noWrap/>
            <w:vAlign w:val="bottom"/>
            <w:hideMark/>
          </w:tcPr>
          <w:p w:rsidR="00F65F74" w:rsidRPr="00F65F74" w:rsidRDefault="00F65F74">
            <w:pPr>
              <w:rPr>
                <w:rFonts w:ascii="Arial" w:hAnsi="Arial" w:cs="Arial"/>
                <w:sz w:val="12"/>
                <w:szCs w:val="12"/>
              </w:rPr>
            </w:pPr>
          </w:p>
        </w:tc>
      </w:tr>
      <w:tr w:rsidR="00F65F74" w:rsidRPr="00F65F74" w:rsidTr="00567A1F">
        <w:trPr>
          <w:trHeight w:val="113"/>
        </w:trPr>
        <w:tc>
          <w:tcPr>
            <w:tcW w:w="15876" w:type="dxa"/>
            <w:gridSpan w:val="16"/>
            <w:tcBorders>
              <w:top w:val="nil"/>
              <w:left w:val="nil"/>
              <w:bottom w:val="nil"/>
              <w:right w:val="nil"/>
            </w:tcBorders>
            <w:shd w:val="clear" w:color="auto" w:fill="auto"/>
            <w:vAlign w:val="center"/>
            <w:hideMark/>
          </w:tcPr>
          <w:p w:rsidR="00F65F74" w:rsidRPr="00F65F74" w:rsidRDefault="00F65F74">
            <w:pPr>
              <w:rPr>
                <w:rFonts w:ascii="Arial" w:hAnsi="Arial" w:cs="Arial"/>
                <w:color w:val="000000"/>
                <w:sz w:val="12"/>
                <w:szCs w:val="12"/>
              </w:rPr>
            </w:pPr>
            <w:r w:rsidRPr="00F65F74">
              <w:rPr>
                <w:rFonts w:ascii="Arial" w:hAnsi="Arial" w:cs="Arial"/>
                <w:color w:val="000000"/>
                <w:sz w:val="12"/>
                <w:szCs w:val="12"/>
              </w:rPr>
              <w:t xml:space="preserve">This projection is partly based upon estimated annual percentage increases and as a living document does not represent a firm future position or intention. Council carefully consider the full budget position on an annual basis prior to approval and use this document as a guideline only to ensure that Council's aims and objectives are included within acceptable margins which would not produce large </w:t>
            </w:r>
            <w:proofErr w:type="spellStart"/>
            <w:r w:rsidRPr="00F65F74">
              <w:rPr>
                <w:rFonts w:ascii="Arial" w:hAnsi="Arial" w:cs="Arial"/>
                <w:color w:val="000000"/>
                <w:sz w:val="12"/>
                <w:szCs w:val="12"/>
              </w:rPr>
              <w:t>year end</w:t>
            </w:r>
            <w:proofErr w:type="spellEnd"/>
            <w:r w:rsidRPr="00F65F74">
              <w:rPr>
                <w:rFonts w:ascii="Arial" w:hAnsi="Arial" w:cs="Arial"/>
                <w:color w:val="000000"/>
                <w:sz w:val="12"/>
                <w:szCs w:val="12"/>
              </w:rPr>
              <w:t xml:space="preserve"> shortfalls. Any surplus funds remaining at year end are placed within the unallocated earmarked reserves in order to fund future projects or to subsidise future precept levels. It should also be noted that council are making the assumption, for this projection, that the Local Council Tax Grant will be withdrawn totally after 2016/17 which will significantly decrease income levels. This is an unconfirmed position as SGC currently forecast the removal of the LCTR in 2019/20 but council have taken a protective stance in order to be prepared and therefore calculate a projection on a </w:t>
            </w:r>
            <w:r w:rsidR="00940B42" w:rsidRPr="00F65F74">
              <w:rPr>
                <w:rFonts w:ascii="Arial" w:hAnsi="Arial" w:cs="Arial"/>
                <w:color w:val="000000"/>
                <w:sz w:val="12"/>
                <w:szCs w:val="12"/>
              </w:rPr>
              <w:t>worst case</w:t>
            </w:r>
            <w:r w:rsidRPr="00F65F74">
              <w:rPr>
                <w:rFonts w:ascii="Arial" w:hAnsi="Arial" w:cs="Arial"/>
                <w:color w:val="000000"/>
                <w:sz w:val="12"/>
                <w:szCs w:val="12"/>
              </w:rPr>
              <w:t xml:space="preserve"> scenario basis. </w:t>
            </w:r>
          </w:p>
        </w:tc>
      </w:tr>
    </w:tbl>
    <w:p w:rsidR="00BE3513" w:rsidRPr="00BE3513" w:rsidRDefault="00BE3513" w:rsidP="007D22FD">
      <w:pPr>
        <w:jc w:val="both"/>
        <w:rPr>
          <w:rFonts w:ascii="Arial" w:hAnsi="Arial" w:cs="Arial"/>
          <w:sz w:val="16"/>
          <w:szCs w:val="16"/>
        </w:rPr>
      </w:pPr>
    </w:p>
    <w:sectPr w:rsidR="00BE3513" w:rsidRPr="00BE3513" w:rsidSect="00642BAB">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F74" w:rsidRDefault="00F65F74">
      <w:r>
        <w:separator/>
      </w:r>
    </w:p>
  </w:endnote>
  <w:endnote w:type="continuationSeparator" w:id="0">
    <w:p w:rsidR="00F65F74" w:rsidRDefault="00F6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74" w:rsidRDefault="00F65F74" w:rsidP="004647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5F74" w:rsidRDefault="00F65F74" w:rsidP="004647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74" w:rsidRPr="00B06912" w:rsidRDefault="00F65F74" w:rsidP="0078082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F74" w:rsidRDefault="00F65F74">
      <w:r>
        <w:separator/>
      </w:r>
    </w:p>
  </w:footnote>
  <w:footnote w:type="continuationSeparator" w:id="0">
    <w:p w:rsidR="00F65F74" w:rsidRDefault="00F65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74" w:rsidRPr="0005642E" w:rsidRDefault="00F65F74" w:rsidP="0005642E">
    <w:pPr>
      <w:pStyle w:val="Header"/>
      <w:jc w:val="center"/>
      <w:rPr>
        <w:i/>
        <w:sz w:val="20"/>
        <w:szCs w:val="20"/>
      </w:rPr>
    </w:pPr>
    <w:r w:rsidRPr="0005642E">
      <w:rPr>
        <w:i/>
        <w:sz w:val="20"/>
        <w:szCs w:val="20"/>
      </w:rPr>
      <w:t xml:space="preserve">BSTC Strategic Planning Meeting – </w:t>
    </w:r>
    <w:r>
      <w:rPr>
        <w:i/>
        <w:sz w:val="20"/>
        <w:szCs w:val="20"/>
      </w:rPr>
      <w:t>5</w:t>
    </w:r>
    <w:r w:rsidRPr="0005642E">
      <w:rPr>
        <w:i/>
        <w:sz w:val="20"/>
        <w:szCs w:val="20"/>
        <w:vertAlign w:val="superscript"/>
      </w:rPr>
      <w:t>th</w:t>
    </w:r>
    <w:r w:rsidRPr="0005642E">
      <w:rPr>
        <w:i/>
        <w:sz w:val="20"/>
        <w:szCs w:val="20"/>
      </w:rPr>
      <w:t xml:space="preserve"> September 201</w:t>
    </w:r>
    <w:r>
      <w:rPr>
        <w:i/>
        <w:sz w:val="20"/>
        <w:szCs w:val="2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12A8"/>
    <w:multiLevelType w:val="multilevel"/>
    <w:tmpl w:val="E374636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4173BC"/>
    <w:multiLevelType w:val="hybridMultilevel"/>
    <w:tmpl w:val="97844302"/>
    <w:lvl w:ilvl="0" w:tplc="72046C52">
      <w:start w:val="1"/>
      <w:numFmt w:val="bullet"/>
      <w:pStyle w:val="Vickysbullets"/>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A5AF9"/>
    <w:multiLevelType w:val="hybridMultilevel"/>
    <w:tmpl w:val="8690AAA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CA2355C"/>
    <w:multiLevelType w:val="hybridMultilevel"/>
    <w:tmpl w:val="83CA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0491C"/>
    <w:multiLevelType w:val="hybridMultilevel"/>
    <w:tmpl w:val="4C1AE9F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D751638"/>
    <w:multiLevelType w:val="hybridMultilevel"/>
    <w:tmpl w:val="2B583D2C"/>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6" w15:restartNumberingAfterBreak="0">
    <w:nsid w:val="2ED31A78"/>
    <w:multiLevelType w:val="hybridMultilevel"/>
    <w:tmpl w:val="6DDABA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6226786"/>
    <w:multiLevelType w:val="hybridMultilevel"/>
    <w:tmpl w:val="A5EA9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A868D3"/>
    <w:multiLevelType w:val="hybridMultilevel"/>
    <w:tmpl w:val="4282DB6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FE03398"/>
    <w:multiLevelType w:val="hybridMultilevel"/>
    <w:tmpl w:val="2356FAE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6C94A91"/>
    <w:multiLevelType w:val="hybridMultilevel"/>
    <w:tmpl w:val="DF8CA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266791"/>
    <w:multiLevelType w:val="hybridMultilevel"/>
    <w:tmpl w:val="FB16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55121"/>
    <w:multiLevelType w:val="hybridMultilevel"/>
    <w:tmpl w:val="9334C40A"/>
    <w:lvl w:ilvl="0" w:tplc="87BCDA6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C981686"/>
    <w:multiLevelType w:val="hybridMultilevel"/>
    <w:tmpl w:val="69C2D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81A1F24"/>
    <w:multiLevelType w:val="hybridMultilevel"/>
    <w:tmpl w:val="C43E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046115"/>
    <w:multiLevelType w:val="hybridMultilevel"/>
    <w:tmpl w:val="4FE0C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A366818"/>
    <w:multiLevelType w:val="hybridMultilevel"/>
    <w:tmpl w:val="301C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9"/>
  </w:num>
  <w:num w:numId="6">
    <w:abstractNumId w:val="8"/>
  </w:num>
  <w:num w:numId="7">
    <w:abstractNumId w:val="2"/>
  </w:num>
  <w:num w:numId="8">
    <w:abstractNumId w:val="6"/>
  </w:num>
  <w:num w:numId="9">
    <w:abstractNumId w:val="3"/>
  </w:num>
  <w:num w:numId="10">
    <w:abstractNumId w:val="7"/>
  </w:num>
  <w:num w:numId="11">
    <w:abstractNumId w:val="12"/>
  </w:num>
  <w:num w:numId="12">
    <w:abstractNumId w:val="12"/>
  </w:num>
  <w:num w:numId="13">
    <w:abstractNumId w:val="13"/>
  </w:num>
  <w:num w:numId="14">
    <w:abstractNumId w:val="15"/>
  </w:num>
  <w:num w:numId="15">
    <w:abstractNumId w:val="16"/>
  </w:num>
  <w:num w:numId="16">
    <w:abstractNumId w:val="14"/>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D88"/>
    <w:rsid w:val="00020974"/>
    <w:rsid w:val="00027977"/>
    <w:rsid w:val="0005642E"/>
    <w:rsid w:val="00065CA7"/>
    <w:rsid w:val="00070BCC"/>
    <w:rsid w:val="00096792"/>
    <w:rsid w:val="000A0029"/>
    <w:rsid w:val="000B26FC"/>
    <w:rsid w:val="000D005B"/>
    <w:rsid w:val="000D051C"/>
    <w:rsid w:val="000D7B8A"/>
    <w:rsid w:val="000E0F5C"/>
    <w:rsid w:val="000E1103"/>
    <w:rsid w:val="000E42F0"/>
    <w:rsid w:val="00112739"/>
    <w:rsid w:val="00127595"/>
    <w:rsid w:val="00152BF0"/>
    <w:rsid w:val="00153A38"/>
    <w:rsid w:val="00155A75"/>
    <w:rsid w:val="00162885"/>
    <w:rsid w:val="00167F7A"/>
    <w:rsid w:val="00192490"/>
    <w:rsid w:val="00196DA2"/>
    <w:rsid w:val="001A2D97"/>
    <w:rsid w:val="001C4B94"/>
    <w:rsid w:val="001C7C13"/>
    <w:rsid w:val="001D6F84"/>
    <w:rsid w:val="001E1553"/>
    <w:rsid w:val="00205702"/>
    <w:rsid w:val="00205E41"/>
    <w:rsid w:val="00210124"/>
    <w:rsid w:val="002255C6"/>
    <w:rsid w:val="0025068D"/>
    <w:rsid w:val="00253866"/>
    <w:rsid w:val="00270D71"/>
    <w:rsid w:val="00272860"/>
    <w:rsid w:val="002B0D33"/>
    <w:rsid w:val="002B67AD"/>
    <w:rsid w:val="002B6D96"/>
    <w:rsid w:val="002B7A87"/>
    <w:rsid w:val="0030377A"/>
    <w:rsid w:val="00311AF2"/>
    <w:rsid w:val="00322123"/>
    <w:rsid w:val="00340873"/>
    <w:rsid w:val="00352E2A"/>
    <w:rsid w:val="0035746D"/>
    <w:rsid w:val="003754FB"/>
    <w:rsid w:val="003758E2"/>
    <w:rsid w:val="003C6044"/>
    <w:rsid w:val="003D0EDE"/>
    <w:rsid w:val="003D4ECB"/>
    <w:rsid w:val="003D7734"/>
    <w:rsid w:val="003F4142"/>
    <w:rsid w:val="00402542"/>
    <w:rsid w:val="00425BD9"/>
    <w:rsid w:val="00426BB9"/>
    <w:rsid w:val="00441A61"/>
    <w:rsid w:val="004555B0"/>
    <w:rsid w:val="00463F4C"/>
    <w:rsid w:val="004647E1"/>
    <w:rsid w:val="0047044C"/>
    <w:rsid w:val="0047380A"/>
    <w:rsid w:val="00475A29"/>
    <w:rsid w:val="004A0F6A"/>
    <w:rsid w:val="004A1B82"/>
    <w:rsid w:val="004B6CA5"/>
    <w:rsid w:val="004C0915"/>
    <w:rsid w:val="004D3F5B"/>
    <w:rsid w:val="004E5E87"/>
    <w:rsid w:val="004E6B80"/>
    <w:rsid w:val="0050153A"/>
    <w:rsid w:val="00526722"/>
    <w:rsid w:val="00567A1F"/>
    <w:rsid w:val="005712E5"/>
    <w:rsid w:val="00587E18"/>
    <w:rsid w:val="00590EF7"/>
    <w:rsid w:val="0059592E"/>
    <w:rsid w:val="005A6A93"/>
    <w:rsid w:val="005C6788"/>
    <w:rsid w:val="005C70B7"/>
    <w:rsid w:val="005F7842"/>
    <w:rsid w:val="00603D63"/>
    <w:rsid w:val="00605DA1"/>
    <w:rsid w:val="00622D1B"/>
    <w:rsid w:val="00626ACC"/>
    <w:rsid w:val="0063708E"/>
    <w:rsid w:val="00642BAB"/>
    <w:rsid w:val="006440A0"/>
    <w:rsid w:val="006601CF"/>
    <w:rsid w:val="006655EE"/>
    <w:rsid w:val="00686DB9"/>
    <w:rsid w:val="00695902"/>
    <w:rsid w:val="006B089F"/>
    <w:rsid w:val="006B0DEE"/>
    <w:rsid w:val="006B7016"/>
    <w:rsid w:val="006C7449"/>
    <w:rsid w:val="00715452"/>
    <w:rsid w:val="00744873"/>
    <w:rsid w:val="00750713"/>
    <w:rsid w:val="0076280E"/>
    <w:rsid w:val="007667AF"/>
    <w:rsid w:val="00780829"/>
    <w:rsid w:val="00785188"/>
    <w:rsid w:val="007A3F2B"/>
    <w:rsid w:val="007A4C7E"/>
    <w:rsid w:val="007C5D88"/>
    <w:rsid w:val="007D1042"/>
    <w:rsid w:val="007D22FD"/>
    <w:rsid w:val="007D4A5E"/>
    <w:rsid w:val="008006DD"/>
    <w:rsid w:val="00814662"/>
    <w:rsid w:val="0082287A"/>
    <w:rsid w:val="00835EA2"/>
    <w:rsid w:val="00844AE8"/>
    <w:rsid w:val="0084651D"/>
    <w:rsid w:val="00857DA1"/>
    <w:rsid w:val="008901F8"/>
    <w:rsid w:val="008A5871"/>
    <w:rsid w:val="008C3F6A"/>
    <w:rsid w:val="009035B4"/>
    <w:rsid w:val="00904480"/>
    <w:rsid w:val="00911B29"/>
    <w:rsid w:val="009157B1"/>
    <w:rsid w:val="00940B42"/>
    <w:rsid w:val="0095403F"/>
    <w:rsid w:val="009708CA"/>
    <w:rsid w:val="009714A3"/>
    <w:rsid w:val="00973F24"/>
    <w:rsid w:val="009C0C61"/>
    <w:rsid w:val="009C679F"/>
    <w:rsid w:val="00A03111"/>
    <w:rsid w:val="00A045F4"/>
    <w:rsid w:val="00A0759A"/>
    <w:rsid w:val="00A12082"/>
    <w:rsid w:val="00A30DE8"/>
    <w:rsid w:val="00A4219F"/>
    <w:rsid w:val="00A56415"/>
    <w:rsid w:val="00A84B6C"/>
    <w:rsid w:val="00AA1AEB"/>
    <w:rsid w:val="00AB4EF1"/>
    <w:rsid w:val="00AB5D16"/>
    <w:rsid w:val="00AD6A0C"/>
    <w:rsid w:val="00AD6CA6"/>
    <w:rsid w:val="00AE1341"/>
    <w:rsid w:val="00AE1505"/>
    <w:rsid w:val="00AF3843"/>
    <w:rsid w:val="00B05A76"/>
    <w:rsid w:val="00B05AC1"/>
    <w:rsid w:val="00B06912"/>
    <w:rsid w:val="00BA247B"/>
    <w:rsid w:val="00BA64B1"/>
    <w:rsid w:val="00BD3151"/>
    <w:rsid w:val="00BD4612"/>
    <w:rsid w:val="00BE3513"/>
    <w:rsid w:val="00BF2FA6"/>
    <w:rsid w:val="00C11EE8"/>
    <w:rsid w:val="00C32F94"/>
    <w:rsid w:val="00C46F9B"/>
    <w:rsid w:val="00C54722"/>
    <w:rsid w:val="00C55C6D"/>
    <w:rsid w:val="00C61816"/>
    <w:rsid w:val="00C81E91"/>
    <w:rsid w:val="00C90480"/>
    <w:rsid w:val="00C94E71"/>
    <w:rsid w:val="00C95215"/>
    <w:rsid w:val="00CA0946"/>
    <w:rsid w:val="00CA2D23"/>
    <w:rsid w:val="00CA465A"/>
    <w:rsid w:val="00CF7CF6"/>
    <w:rsid w:val="00D34043"/>
    <w:rsid w:val="00D630F1"/>
    <w:rsid w:val="00D72223"/>
    <w:rsid w:val="00D919A1"/>
    <w:rsid w:val="00DA7067"/>
    <w:rsid w:val="00DE2AA4"/>
    <w:rsid w:val="00DE5EE2"/>
    <w:rsid w:val="00DF320D"/>
    <w:rsid w:val="00DF6FDA"/>
    <w:rsid w:val="00E169B7"/>
    <w:rsid w:val="00E43ED4"/>
    <w:rsid w:val="00E503EB"/>
    <w:rsid w:val="00E5735E"/>
    <w:rsid w:val="00E6461B"/>
    <w:rsid w:val="00E72BAB"/>
    <w:rsid w:val="00E80B0A"/>
    <w:rsid w:val="00E82BFE"/>
    <w:rsid w:val="00EA0008"/>
    <w:rsid w:val="00EB1B3F"/>
    <w:rsid w:val="00ED2421"/>
    <w:rsid w:val="00EE5AD4"/>
    <w:rsid w:val="00F105B6"/>
    <w:rsid w:val="00F2572E"/>
    <w:rsid w:val="00F337A1"/>
    <w:rsid w:val="00F35841"/>
    <w:rsid w:val="00F47F5F"/>
    <w:rsid w:val="00F57D2B"/>
    <w:rsid w:val="00F65F74"/>
    <w:rsid w:val="00F70F54"/>
    <w:rsid w:val="00F8368A"/>
    <w:rsid w:val="00F84609"/>
    <w:rsid w:val="00FB6F81"/>
    <w:rsid w:val="00FD10BE"/>
    <w:rsid w:val="00FF0087"/>
    <w:rsid w:val="00FF6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2F2FEB1-372F-4657-AFBD-669C29AB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5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6912"/>
    <w:pPr>
      <w:tabs>
        <w:tab w:val="center" w:pos="4153"/>
        <w:tab w:val="right" w:pos="8306"/>
      </w:tabs>
    </w:pPr>
  </w:style>
  <w:style w:type="paragraph" w:styleId="Footer">
    <w:name w:val="footer"/>
    <w:basedOn w:val="Normal"/>
    <w:rsid w:val="00B06912"/>
    <w:pPr>
      <w:tabs>
        <w:tab w:val="center" w:pos="4153"/>
        <w:tab w:val="right" w:pos="8306"/>
      </w:tabs>
    </w:pPr>
  </w:style>
  <w:style w:type="character" w:styleId="PageNumber">
    <w:name w:val="page number"/>
    <w:basedOn w:val="DefaultParagraphFont"/>
    <w:rsid w:val="004647E1"/>
  </w:style>
  <w:style w:type="paragraph" w:styleId="DocumentMap">
    <w:name w:val="Document Map"/>
    <w:basedOn w:val="Normal"/>
    <w:semiHidden/>
    <w:rsid w:val="003758E2"/>
    <w:pPr>
      <w:shd w:val="clear" w:color="auto" w:fill="000080"/>
    </w:pPr>
    <w:rPr>
      <w:rFonts w:ascii="Tahoma" w:hAnsi="Tahoma" w:cs="Tahoma"/>
      <w:sz w:val="20"/>
      <w:szCs w:val="20"/>
    </w:rPr>
  </w:style>
  <w:style w:type="paragraph" w:styleId="NormalWeb">
    <w:name w:val="Normal (Web)"/>
    <w:basedOn w:val="Normal"/>
    <w:rsid w:val="004555B0"/>
    <w:pPr>
      <w:spacing w:before="100" w:beforeAutospacing="1" w:after="100" w:afterAutospacing="1"/>
    </w:pPr>
  </w:style>
  <w:style w:type="paragraph" w:styleId="ListParagraph">
    <w:name w:val="List Paragraph"/>
    <w:basedOn w:val="Normal"/>
    <w:qFormat/>
    <w:rsid w:val="00844AE8"/>
    <w:pPr>
      <w:spacing w:after="200" w:line="276" w:lineRule="auto"/>
      <w:ind w:left="720"/>
      <w:contextualSpacing/>
    </w:pPr>
    <w:rPr>
      <w:rFonts w:ascii="Calibri" w:hAnsi="Calibri"/>
      <w:sz w:val="22"/>
      <w:szCs w:val="22"/>
      <w:lang w:eastAsia="en-US"/>
    </w:rPr>
  </w:style>
  <w:style w:type="paragraph" w:customStyle="1" w:styleId="Vickysbullets">
    <w:name w:val="Vicky's bullets"/>
    <w:basedOn w:val="Normal"/>
    <w:rsid w:val="00626ACC"/>
    <w:pPr>
      <w:numPr>
        <w:numId w:val="3"/>
      </w:numPr>
    </w:pPr>
    <w:rPr>
      <w:lang w:eastAsia="en-US"/>
    </w:rPr>
  </w:style>
  <w:style w:type="table" w:styleId="TableGrid">
    <w:name w:val="Table Grid"/>
    <w:basedOn w:val="TableNormal"/>
    <w:rsid w:val="00903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750713"/>
    <w:rPr>
      <w:b/>
      <w:bCs/>
    </w:rPr>
  </w:style>
  <w:style w:type="paragraph" w:styleId="BalloonText">
    <w:name w:val="Balloon Text"/>
    <w:basedOn w:val="Normal"/>
    <w:link w:val="BalloonTextChar"/>
    <w:rsid w:val="00C55C6D"/>
    <w:rPr>
      <w:rFonts w:ascii="Segoe UI" w:hAnsi="Segoe UI" w:cs="Segoe UI"/>
      <w:sz w:val="18"/>
      <w:szCs w:val="18"/>
    </w:rPr>
  </w:style>
  <w:style w:type="character" w:customStyle="1" w:styleId="BalloonTextChar">
    <w:name w:val="Balloon Text Char"/>
    <w:basedOn w:val="DefaultParagraphFont"/>
    <w:link w:val="BalloonText"/>
    <w:rsid w:val="00C55C6D"/>
    <w:rPr>
      <w:rFonts w:ascii="Segoe UI" w:hAnsi="Segoe UI" w:cs="Segoe UI"/>
      <w:sz w:val="18"/>
      <w:szCs w:val="18"/>
    </w:rPr>
  </w:style>
  <w:style w:type="paragraph" w:customStyle="1" w:styleId="gmail-msolistparagraph">
    <w:name w:val="gmail-msolistparagraph"/>
    <w:basedOn w:val="Normal"/>
    <w:rsid w:val="00F70F54"/>
    <w:pPr>
      <w:spacing w:before="100" w:beforeAutospacing="1" w:after="100" w:afterAutospacing="1"/>
    </w:pPr>
    <w:rPr>
      <w:rFonts w:eastAsiaTheme="minorHAnsi"/>
    </w:rPr>
  </w:style>
  <w:style w:type="paragraph" w:styleId="FootnoteText">
    <w:name w:val="footnote text"/>
    <w:basedOn w:val="Normal"/>
    <w:link w:val="FootnoteTextChar"/>
    <w:rsid w:val="00FF0087"/>
    <w:rPr>
      <w:sz w:val="20"/>
      <w:szCs w:val="20"/>
    </w:rPr>
  </w:style>
  <w:style w:type="character" w:customStyle="1" w:styleId="FootnoteTextChar">
    <w:name w:val="Footnote Text Char"/>
    <w:basedOn w:val="DefaultParagraphFont"/>
    <w:link w:val="FootnoteText"/>
    <w:rsid w:val="00FF0087"/>
  </w:style>
  <w:style w:type="character" w:styleId="FootnoteReference">
    <w:name w:val="footnote reference"/>
    <w:uiPriority w:val="99"/>
    <w:unhideWhenUsed/>
    <w:rsid w:val="00FF00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41595">
      <w:bodyDiv w:val="1"/>
      <w:marLeft w:val="0"/>
      <w:marRight w:val="0"/>
      <w:marTop w:val="0"/>
      <w:marBottom w:val="0"/>
      <w:divBdr>
        <w:top w:val="none" w:sz="0" w:space="0" w:color="auto"/>
        <w:left w:val="none" w:sz="0" w:space="0" w:color="auto"/>
        <w:bottom w:val="none" w:sz="0" w:space="0" w:color="auto"/>
        <w:right w:val="none" w:sz="0" w:space="0" w:color="auto"/>
      </w:divBdr>
    </w:div>
    <w:div w:id="466045126">
      <w:bodyDiv w:val="1"/>
      <w:marLeft w:val="0"/>
      <w:marRight w:val="0"/>
      <w:marTop w:val="0"/>
      <w:marBottom w:val="0"/>
      <w:divBdr>
        <w:top w:val="none" w:sz="0" w:space="0" w:color="auto"/>
        <w:left w:val="none" w:sz="0" w:space="0" w:color="auto"/>
        <w:bottom w:val="none" w:sz="0" w:space="0" w:color="auto"/>
        <w:right w:val="none" w:sz="0" w:space="0" w:color="auto"/>
      </w:divBdr>
    </w:div>
    <w:div w:id="673261387">
      <w:bodyDiv w:val="1"/>
      <w:marLeft w:val="0"/>
      <w:marRight w:val="0"/>
      <w:marTop w:val="0"/>
      <w:marBottom w:val="0"/>
      <w:divBdr>
        <w:top w:val="none" w:sz="0" w:space="0" w:color="auto"/>
        <w:left w:val="none" w:sz="0" w:space="0" w:color="auto"/>
        <w:bottom w:val="none" w:sz="0" w:space="0" w:color="auto"/>
        <w:right w:val="none" w:sz="0" w:space="0" w:color="auto"/>
      </w:divBdr>
    </w:div>
    <w:div w:id="933516156">
      <w:bodyDiv w:val="1"/>
      <w:marLeft w:val="0"/>
      <w:marRight w:val="0"/>
      <w:marTop w:val="0"/>
      <w:marBottom w:val="0"/>
      <w:divBdr>
        <w:top w:val="none" w:sz="0" w:space="0" w:color="auto"/>
        <w:left w:val="none" w:sz="0" w:space="0" w:color="auto"/>
        <w:bottom w:val="none" w:sz="0" w:space="0" w:color="auto"/>
        <w:right w:val="none" w:sz="0" w:space="0" w:color="auto"/>
      </w:divBdr>
    </w:div>
    <w:div w:id="988826583">
      <w:bodyDiv w:val="1"/>
      <w:marLeft w:val="0"/>
      <w:marRight w:val="0"/>
      <w:marTop w:val="0"/>
      <w:marBottom w:val="0"/>
      <w:divBdr>
        <w:top w:val="none" w:sz="0" w:space="0" w:color="auto"/>
        <w:left w:val="none" w:sz="0" w:space="0" w:color="auto"/>
        <w:bottom w:val="none" w:sz="0" w:space="0" w:color="auto"/>
        <w:right w:val="none" w:sz="0" w:space="0" w:color="auto"/>
      </w:divBdr>
    </w:div>
    <w:div w:id="1017148455">
      <w:bodyDiv w:val="1"/>
      <w:marLeft w:val="0"/>
      <w:marRight w:val="0"/>
      <w:marTop w:val="0"/>
      <w:marBottom w:val="0"/>
      <w:divBdr>
        <w:top w:val="none" w:sz="0" w:space="0" w:color="auto"/>
        <w:left w:val="none" w:sz="0" w:space="0" w:color="auto"/>
        <w:bottom w:val="none" w:sz="0" w:space="0" w:color="auto"/>
        <w:right w:val="none" w:sz="0" w:space="0" w:color="auto"/>
      </w:divBdr>
    </w:div>
    <w:div w:id="1255942593">
      <w:bodyDiv w:val="1"/>
      <w:marLeft w:val="0"/>
      <w:marRight w:val="0"/>
      <w:marTop w:val="0"/>
      <w:marBottom w:val="0"/>
      <w:divBdr>
        <w:top w:val="none" w:sz="0" w:space="0" w:color="auto"/>
        <w:left w:val="none" w:sz="0" w:space="0" w:color="auto"/>
        <w:bottom w:val="none" w:sz="0" w:space="0" w:color="auto"/>
        <w:right w:val="none" w:sz="0" w:space="0" w:color="auto"/>
      </w:divBdr>
      <w:divsChild>
        <w:div w:id="95053721">
          <w:marLeft w:val="0"/>
          <w:marRight w:val="0"/>
          <w:marTop w:val="0"/>
          <w:marBottom w:val="0"/>
          <w:divBdr>
            <w:top w:val="none" w:sz="0" w:space="0" w:color="auto"/>
            <w:left w:val="none" w:sz="0" w:space="0" w:color="auto"/>
            <w:bottom w:val="none" w:sz="0" w:space="0" w:color="auto"/>
            <w:right w:val="none" w:sz="0" w:space="0" w:color="auto"/>
          </w:divBdr>
        </w:div>
        <w:div w:id="156305157">
          <w:marLeft w:val="0"/>
          <w:marRight w:val="0"/>
          <w:marTop w:val="0"/>
          <w:marBottom w:val="0"/>
          <w:divBdr>
            <w:top w:val="none" w:sz="0" w:space="0" w:color="auto"/>
            <w:left w:val="none" w:sz="0" w:space="0" w:color="auto"/>
            <w:bottom w:val="none" w:sz="0" w:space="0" w:color="auto"/>
            <w:right w:val="none" w:sz="0" w:space="0" w:color="auto"/>
          </w:divBdr>
        </w:div>
        <w:div w:id="320425316">
          <w:marLeft w:val="0"/>
          <w:marRight w:val="0"/>
          <w:marTop w:val="0"/>
          <w:marBottom w:val="0"/>
          <w:divBdr>
            <w:top w:val="none" w:sz="0" w:space="0" w:color="auto"/>
            <w:left w:val="none" w:sz="0" w:space="0" w:color="auto"/>
            <w:bottom w:val="none" w:sz="0" w:space="0" w:color="auto"/>
            <w:right w:val="none" w:sz="0" w:space="0" w:color="auto"/>
          </w:divBdr>
        </w:div>
        <w:div w:id="549805575">
          <w:marLeft w:val="0"/>
          <w:marRight w:val="0"/>
          <w:marTop w:val="0"/>
          <w:marBottom w:val="0"/>
          <w:divBdr>
            <w:top w:val="none" w:sz="0" w:space="0" w:color="auto"/>
            <w:left w:val="none" w:sz="0" w:space="0" w:color="auto"/>
            <w:bottom w:val="none" w:sz="0" w:space="0" w:color="auto"/>
            <w:right w:val="none" w:sz="0" w:space="0" w:color="auto"/>
          </w:divBdr>
        </w:div>
        <w:div w:id="731658590">
          <w:marLeft w:val="0"/>
          <w:marRight w:val="0"/>
          <w:marTop w:val="0"/>
          <w:marBottom w:val="0"/>
          <w:divBdr>
            <w:top w:val="none" w:sz="0" w:space="0" w:color="auto"/>
            <w:left w:val="none" w:sz="0" w:space="0" w:color="auto"/>
            <w:bottom w:val="none" w:sz="0" w:space="0" w:color="auto"/>
            <w:right w:val="none" w:sz="0" w:space="0" w:color="auto"/>
          </w:divBdr>
        </w:div>
        <w:div w:id="1318847447">
          <w:marLeft w:val="0"/>
          <w:marRight w:val="0"/>
          <w:marTop w:val="0"/>
          <w:marBottom w:val="0"/>
          <w:divBdr>
            <w:top w:val="none" w:sz="0" w:space="0" w:color="auto"/>
            <w:left w:val="none" w:sz="0" w:space="0" w:color="auto"/>
            <w:bottom w:val="none" w:sz="0" w:space="0" w:color="auto"/>
            <w:right w:val="none" w:sz="0" w:space="0" w:color="auto"/>
          </w:divBdr>
        </w:div>
        <w:div w:id="1390805950">
          <w:marLeft w:val="0"/>
          <w:marRight w:val="0"/>
          <w:marTop w:val="0"/>
          <w:marBottom w:val="0"/>
          <w:divBdr>
            <w:top w:val="none" w:sz="0" w:space="0" w:color="auto"/>
            <w:left w:val="none" w:sz="0" w:space="0" w:color="auto"/>
            <w:bottom w:val="none" w:sz="0" w:space="0" w:color="auto"/>
            <w:right w:val="none" w:sz="0" w:space="0" w:color="auto"/>
          </w:divBdr>
        </w:div>
        <w:div w:id="1400709081">
          <w:marLeft w:val="0"/>
          <w:marRight w:val="0"/>
          <w:marTop w:val="0"/>
          <w:marBottom w:val="0"/>
          <w:divBdr>
            <w:top w:val="none" w:sz="0" w:space="0" w:color="auto"/>
            <w:left w:val="none" w:sz="0" w:space="0" w:color="auto"/>
            <w:bottom w:val="none" w:sz="0" w:space="0" w:color="auto"/>
            <w:right w:val="none" w:sz="0" w:space="0" w:color="auto"/>
          </w:divBdr>
        </w:div>
        <w:div w:id="1415131964">
          <w:marLeft w:val="0"/>
          <w:marRight w:val="0"/>
          <w:marTop w:val="0"/>
          <w:marBottom w:val="0"/>
          <w:divBdr>
            <w:top w:val="none" w:sz="0" w:space="0" w:color="auto"/>
            <w:left w:val="none" w:sz="0" w:space="0" w:color="auto"/>
            <w:bottom w:val="none" w:sz="0" w:space="0" w:color="auto"/>
            <w:right w:val="none" w:sz="0" w:space="0" w:color="auto"/>
          </w:divBdr>
        </w:div>
        <w:div w:id="1569729826">
          <w:marLeft w:val="0"/>
          <w:marRight w:val="0"/>
          <w:marTop w:val="0"/>
          <w:marBottom w:val="0"/>
          <w:divBdr>
            <w:top w:val="none" w:sz="0" w:space="0" w:color="auto"/>
            <w:left w:val="none" w:sz="0" w:space="0" w:color="auto"/>
            <w:bottom w:val="none" w:sz="0" w:space="0" w:color="auto"/>
            <w:right w:val="none" w:sz="0" w:space="0" w:color="auto"/>
          </w:divBdr>
        </w:div>
        <w:div w:id="2030446263">
          <w:marLeft w:val="0"/>
          <w:marRight w:val="0"/>
          <w:marTop w:val="0"/>
          <w:marBottom w:val="0"/>
          <w:divBdr>
            <w:top w:val="none" w:sz="0" w:space="0" w:color="auto"/>
            <w:left w:val="none" w:sz="0" w:space="0" w:color="auto"/>
            <w:bottom w:val="none" w:sz="0" w:space="0" w:color="auto"/>
            <w:right w:val="none" w:sz="0" w:space="0" w:color="auto"/>
          </w:divBdr>
        </w:div>
        <w:div w:id="2060592374">
          <w:marLeft w:val="0"/>
          <w:marRight w:val="0"/>
          <w:marTop w:val="0"/>
          <w:marBottom w:val="0"/>
          <w:divBdr>
            <w:top w:val="none" w:sz="0" w:space="0" w:color="auto"/>
            <w:left w:val="none" w:sz="0" w:space="0" w:color="auto"/>
            <w:bottom w:val="none" w:sz="0" w:space="0" w:color="auto"/>
            <w:right w:val="none" w:sz="0" w:space="0" w:color="auto"/>
          </w:divBdr>
        </w:div>
      </w:divsChild>
    </w:div>
    <w:div w:id="1430152345">
      <w:bodyDiv w:val="1"/>
      <w:marLeft w:val="0"/>
      <w:marRight w:val="0"/>
      <w:marTop w:val="0"/>
      <w:marBottom w:val="0"/>
      <w:divBdr>
        <w:top w:val="none" w:sz="0" w:space="0" w:color="auto"/>
        <w:left w:val="none" w:sz="0" w:space="0" w:color="auto"/>
        <w:bottom w:val="none" w:sz="0" w:space="0" w:color="auto"/>
        <w:right w:val="none" w:sz="0" w:space="0" w:color="auto"/>
      </w:divBdr>
    </w:div>
    <w:div w:id="1536118099">
      <w:bodyDiv w:val="1"/>
      <w:marLeft w:val="0"/>
      <w:marRight w:val="0"/>
      <w:marTop w:val="0"/>
      <w:marBottom w:val="0"/>
      <w:divBdr>
        <w:top w:val="none" w:sz="0" w:space="0" w:color="auto"/>
        <w:left w:val="none" w:sz="0" w:space="0" w:color="auto"/>
        <w:bottom w:val="none" w:sz="0" w:space="0" w:color="auto"/>
        <w:right w:val="none" w:sz="0" w:space="0" w:color="auto"/>
      </w:divBdr>
    </w:div>
    <w:div w:id="1692098355">
      <w:bodyDiv w:val="1"/>
      <w:marLeft w:val="0"/>
      <w:marRight w:val="0"/>
      <w:marTop w:val="0"/>
      <w:marBottom w:val="0"/>
      <w:divBdr>
        <w:top w:val="none" w:sz="0" w:space="0" w:color="auto"/>
        <w:left w:val="none" w:sz="0" w:space="0" w:color="auto"/>
        <w:bottom w:val="none" w:sz="0" w:space="0" w:color="auto"/>
        <w:right w:val="none" w:sz="0" w:space="0" w:color="auto"/>
      </w:divBdr>
    </w:div>
    <w:div w:id="1796220374">
      <w:bodyDiv w:val="1"/>
      <w:marLeft w:val="0"/>
      <w:marRight w:val="0"/>
      <w:marTop w:val="0"/>
      <w:marBottom w:val="0"/>
      <w:divBdr>
        <w:top w:val="none" w:sz="0" w:space="0" w:color="auto"/>
        <w:left w:val="none" w:sz="0" w:space="0" w:color="auto"/>
        <w:bottom w:val="none" w:sz="0" w:space="0" w:color="auto"/>
        <w:right w:val="none" w:sz="0" w:space="0" w:color="auto"/>
      </w:divBdr>
    </w:div>
    <w:div w:id="1966036520">
      <w:bodyDiv w:val="1"/>
      <w:marLeft w:val="0"/>
      <w:marRight w:val="0"/>
      <w:marTop w:val="0"/>
      <w:marBottom w:val="0"/>
      <w:divBdr>
        <w:top w:val="none" w:sz="0" w:space="0" w:color="auto"/>
        <w:left w:val="none" w:sz="0" w:space="0" w:color="auto"/>
        <w:bottom w:val="none" w:sz="0" w:space="0" w:color="auto"/>
        <w:right w:val="none" w:sz="0" w:space="0" w:color="auto"/>
      </w:divBdr>
    </w:div>
    <w:div w:id="208722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2" ma:contentTypeDescription="Create a new document." ma:contentTypeScope="" ma:versionID="ab5fad72963f4641e420cf57630824c3">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6596376397f0a73e659e2deea57553e9"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E6E25F-C49C-4D17-BEB1-71BC640032D6}"/>
</file>

<file path=customXml/itemProps2.xml><?xml version="1.0" encoding="utf-8"?>
<ds:datastoreItem xmlns:ds="http://schemas.openxmlformats.org/officeDocument/2006/customXml" ds:itemID="{281CD666-A35B-4D75-B454-2DAE5C0EB621}"/>
</file>

<file path=customXml/itemProps3.xml><?xml version="1.0" encoding="utf-8"?>
<ds:datastoreItem xmlns:ds="http://schemas.openxmlformats.org/officeDocument/2006/customXml" ds:itemID="{0D0B29C8-5EB4-4378-B8D8-87D338D0302A}"/>
</file>

<file path=docProps/app.xml><?xml version="1.0" encoding="utf-8"?>
<Properties xmlns="http://schemas.openxmlformats.org/officeDocument/2006/extended-properties" xmlns:vt="http://schemas.openxmlformats.org/officeDocument/2006/docPropsVTypes">
  <Template>Normal.dotm</Template>
  <TotalTime>279</TotalTime>
  <Pages>8</Pages>
  <Words>3864</Words>
  <Characters>21214</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STRATEGIC PLANNING DAY</vt:lpstr>
    </vt:vector>
  </TitlesOfParts>
  <Company>Bradley Stoke Town Council</Company>
  <LinksUpToDate>false</LinksUpToDate>
  <CharactersWithSpaces>25028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DAY</dc:title>
  <dc:subject/>
  <dc:creator>HUB6250XV3</dc:creator>
  <cp:keywords/>
  <dc:description/>
  <cp:lastModifiedBy>Sharon Petela</cp:lastModifiedBy>
  <cp:revision>11</cp:revision>
  <cp:lastPrinted>2016-09-06T13:52:00Z</cp:lastPrinted>
  <dcterms:created xsi:type="dcterms:W3CDTF">2016-09-06T08:28:00Z</dcterms:created>
  <dcterms:modified xsi:type="dcterms:W3CDTF">2016-09-06T14:23:00Z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3443400</vt:r8>
  </property>
</Properties>
</file>