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B0631" w14:textId="77777777" w:rsidR="000B61C7" w:rsidRDefault="000F2A5E">
      <w:pPr>
        <w:pStyle w:val="Title"/>
      </w:pPr>
      <w:r>
        <w:t>Residents Survey</w:t>
      </w:r>
    </w:p>
    <w:p w14:paraId="0769457E" w14:textId="77777777" w:rsidR="000B61C7" w:rsidRDefault="000F2A5E">
      <w:pPr>
        <w:pStyle w:val="ReportSubtitle"/>
      </w:pPr>
      <w:r>
        <w:t>Results and analysis of the Bradley Stoke Residents Survey</w:t>
      </w:r>
    </w:p>
    <w:p w14:paraId="6C9BB562" w14:textId="77777777" w:rsidR="000B61C7" w:rsidRDefault="000F2A5E">
      <w:r>
        <w:rPr>
          <w:b/>
          <w:color w:val="008C7A"/>
          <w:sz w:val="22"/>
        </w:rPr>
        <w:t>Agenda Item 7.3.3</w:t>
      </w:r>
    </w:p>
    <w:p w14:paraId="2C8A5CCD" w14:textId="77777777" w:rsidR="000B61C7" w:rsidRDefault="000F2A5E">
      <w:pPr>
        <w:pStyle w:val="Heading1"/>
      </w:pPr>
      <w:r>
        <w:t>Executive summary</w:t>
      </w:r>
    </w:p>
    <w:p w14:paraId="5316E309" w14:textId="77777777" w:rsidR="000B61C7" w:rsidRDefault="000F2A5E">
      <w:r>
        <w:t>The survey achieved up to 289 responses. Response numbers varied by question, with later sections generally receiving between 198 and 249 responses. The results provide a useful indication of residents’ views, but the survey is self-selecting and the respondent profile is not evenly distributed across age and gender groups.</w:t>
      </w:r>
    </w:p>
    <w:tbl>
      <w:tblPr>
        <w:tblW w:w="0" w:type="auto"/>
        <w:jc w:val="center"/>
        <w:tblLayout w:type="fixed"/>
        <w:tblLook w:val="04A0" w:firstRow="1" w:lastRow="0" w:firstColumn="1" w:lastColumn="0" w:noHBand="0" w:noVBand="1"/>
      </w:tblPr>
      <w:tblGrid>
        <w:gridCol w:w="3345"/>
        <w:gridCol w:w="3345"/>
        <w:gridCol w:w="3345"/>
      </w:tblGrid>
      <w:tr w:rsidR="000B61C7" w14:paraId="0103D9F6" w14:textId="77777777">
        <w:trPr>
          <w:jc w:val="center"/>
        </w:trPr>
        <w:tc>
          <w:tcPr>
            <w:tcW w:w="3345" w:type="dxa"/>
            <w:shd w:val="clear" w:color="auto" w:fill="F1F6F8"/>
            <w:tcMar>
              <w:top w:w="160" w:type="dxa"/>
              <w:left w:w="140" w:type="dxa"/>
              <w:bottom w:w="160" w:type="dxa"/>
              <w:right w:w="140" w:type="dxa"/>
            </w:tcMar>
            <w:vAlign w:val="center"/>
          </w:tcPr>
          <w:p w14:paraId="3010C3CF" w14:textId="77777777" w:rsidR="000B61C7" w:rsidRDefault="000F2A5E">
            <w:pPr>
              <w:jc w:val="center"/>
            </w:pPr>
            <w:r>
              <w:rPr>
                <w:b/>
                <w:color w:val="008C7A"/>
                <w:sz w:val="44"/>
              </w:rPr>
              <w:t>7 / 10</w:t>
            </w:r>
          </w:p>
          <w:p w14:paraId="0E34B97D" w14:textId="77777777" w:rsidR="000B61C7" w:rsidRDefault="000F2A5E">
            <w:pPr>
              <w:jc w:val="center"/>
            </w:pPr>
            <w:r>
              <w:rPr>
                <w:color w:val="36454F"/>
                <w:sz w:val="17"/>
              </w:rPr>
              <w:t>Average satisfaction with Bradley Stoke as a place to live</w:t>
            </w:r>
          </w:p>
        </w:tc>
        <w:tc>
          <w:tcPr>
            <w:tcW w:w="3345" w:type="dxa"/>
            <w:shd w:val="clear" w:color="auto" w:fill="F1F6F8"/>
            <w:tcMar>
              <w:top w:w="160" w:type="dxa"/>
              <w:left w:w="140" w:type="dxa"/>
              <w:bottom w:w="160" w:type="dxa"/>
              <w:right w:w="140" w:type="dxa"/>
            </w:tcMar>
            <w:vAlign w:val="center"/>
          </w:tcPr>
          <w:p w14:paraId="17BCA95C" w14:textId="77777777" w:rsidR="000B61C7" w:rsidRDefault="000F2A5E">
            <w:pPr>
              <w:jc w:val="center"/>
            </w:pPr>
            <w:r>
              <w:rPr>
                <w:b/>
                <w:color w:val="008C7A"/>
                <w:sz w:val="44"/>
              </w:rPr>
              <w:t>6 / 10</w:t>
            </w:r>
          </w:p>
          <w:p w14:paraId="3BB9E3B2" w14:textId="77777777" w:rsidR="000B61C7" w:rsidRDefault="000F2A5E">
            <w:pPr>
              <w:jc w:val="center"/>
            </w:pPr>
            <w:r>
              <w:rPr>
                <w:color w:val="36454F"/>
                <w:sz w:val="17"/>
              </w:rPr>
              <w:t>Average satisfaction with Town Council services</w:t>
            </w:r>
          </w:p>
        </w:tc>
        <w:tc>
          <w:tcPr>
            <w:tcW w:w="3345" w:type="dxa"/>
            <w:shd w:val="clear" w:color="auto" w:fill="F1F6F8"/>
            <w:tcMar>
              <w:top w:w="160" w:type="dxa"/>
              <w:left w:w="140" w:type="dxa"/>
              <w:bottom w:w="160" w:type="dxa"/>
              <w:right w:w="140" w:type="dxa"/>
            </w:tcMar>
            <w:vAlign w:val="center"/>
          </w:tcPr>
          <w:p w14:paraId="6561031F" w14:textId="77777777" w:rsidR="000B61C7" w:rsidRDefault="000F2A5E">
            <w:pPr>
              <w:jc w:val="center"/>
            </w:pPr>
            <w:r>
              <w:rPr>
                <w:b/>
                <w:color w:val="008C7A"/>
                <w:sz w:val="44"/>
              </w:rPr>
              <w:t>5 / 10</w:t>
            </w:r>
          </w:p>
          <w:p w14:paraId="55C1A5D6" w14:textId="77777777" w:rsidR="000B61C7" w:rsidRDefault="000F2A5E">
            <w:pPr>
              <w:jc w:val="center"/>
            </w:pPr>
            <w:r>
              <w:rPr>
                <w:color w:val="36454F"/>
                <w:sz w:val="17"/>
              </w:rPr>
              <w:t>Average feeling of being informed about Town Council work</w:t>
            </w:r>
          </w:p>
        </w:tc>
      </w:tr>
      <w:tr w:rsidR="000B61C7" w14:paraId="3FC8C76F" w14:textId="77777777">
        <w:trPr>
          <w:jc w:val="center"/>
        </w:trPr>
        <w:tc>
          <w:tcPr>
            <w:tcW w:w="3345" w:type="dxa"/>
            <w:shd w:val="clear" w:color="auto" w:fill="F1F6F8"/>
            <w:tcMar>
              <w:top w:w="160" w:type="dxa"/>
              <w:left w:w="140" w:type="dxa"/>
              <w:bottom w:w="160" w:type="dxa"/>
              <w:right w:w="140" w:type="dxa"/>
            </w:tcMar>
            <w:vAlign w:val="center"/>
          </w:tcPr>
          <w:p w14:paraId="0BCD7655" w14:textId="77777777" w:rsidR="000B61C7" w:rsidRDefault="000F2A5E">
            <w:pPr>
              <w:jc w:val="center"/>
            </w:pPr>
            <w:r>
              <w:rPr>
                <w:b/>
                <w:color w:val="008C7A"/>
                <w:sz w:val="44"/>
              </w:rPr>
              <w:t>86%</w:t>
            </w:r>
          </w:p>
          <w:p w14:paraId="644144B0" w14:textId="77777777" w:rsidR="000B61C7" w:rsidRDefault="000F2A5E">
            <w:pPr>
              <w:jc w:val="center"/>
            </w:pPr>
            <w:r>
              <w:rPr>
                <w:color w:val="36454F"/>
                <w:sz w:val="17"/>
              </w:rPr>
              <w:t>Feel very safe or safe during daylight hours</w:t>
            </w:r>
          </w:p>
        </w:tc>
        <w:tc>
          <w:tcPr>
            <w:tcW w:w="3345" w:type="dxa"/>
            <w:shd w:val="clear" w:color="auto" w:fill="F1F6F8"/>
            <w:tcMar>
              <w:top w:w="160" w:type="dxa"/>
              <w:left w:w="140" w:type="dxa"/>
              <w:bottom w:w="160" w:type="dxa"/>
              <w:right w:w="140" w:type="dxa"/>
            </w:tcMar>
            <w:vAlign w:val="center"/>
          </w:tcPr>
          <w:p w14:paraId="36F506EA" w14:textId="77777777" w:rsidR="000B61C7" w:rsidRDefault="000F2A5E">
            <w:pPr>
              <w:jc w:val="center"/>
            </w:pPr>
            <w:r>
              <w:rPr>
                <w:b/>
                <w:color w:val="008C7A"/>
                <w:sz w:val="44"/>
              </w:rPr>
              <w:t>99%</w:t>
            </w:r>
          </w:p>
          <w:p w14:paraId="7117219C" w14:textId="77777777" w:rsidR="000B61C7" w:rsidRDefault="000F2A5E">
            <w:pPr>
              <w:jc w:val="center"/>
            </w:pPr>
            <w:r>
              <w:rPr>
                <w:color w:val="36454F"/>
                <w:sz w:val="17"/>
              </w:rPr>
              <w:t>Rate community safety as important or very important</w:t>
            </w:r>
          </w:p>
        </w:tc>
        <w:tc>
          <w:tcPr>
            <w:tcW w:w="3345" w:type="dxa"/>
            <w:shd w:val="clear" w:color="auto" w:fill="F1F6F8"/>
            <w:tcMar>
              <w:top w:w="160" w:type="dxa"/>
              <w:left w:w="140" w:type="dxa"/>
              <w:bottom w:w="160" w:type="dxa"/>
              <w:right w:w="140" w:type="dxa"/>
            </w:tcMar>
            <w:vAlign w:val="center"/>
          </w:tcPr>
          <w:p w14:paraId="1F715F60" w14:textId="77777777" w:rsidR="000B61C7" w:rsidRDefault="000F2A5E">
            <w:pPr>
              <w:jc w:val="center"/>
            </w:pPr>
            <w:r>
              <w:rPr>
                <w:b/>
                <w:color w:val="008C7A"/>
                <w:sz w:val="44"/>
              </w:rPr>
              <w:t>61%</w:t>
            </w:r>
          </w:p>
          <w:p w14:paraId="5B64A989" w14:textId="77777777" w:rsidR="000B61C7" w:rsidRDefault="000F2A5E">
            <w:pPr>
              <w:jc w:val="center"/>
            </w:pPr>
            <w:r>
              <w:rPr>
                <w:color w:val="36454F"/>
                <w:sz w:val="17"/>
              </w:rPr>
              <w:t>Would like more community fairs and markets</w:t>
            </w:r>
          </w:p>
        </w:tc>
      </w:tr>
    </w:tbl>
    <w:p w14:paraId="1497BEED" w14:textId="77777777" w:rsidR="000B61C7" w:rsidRDefault="000B61C7"/>
    <w:p w14:paraId="1C843628" w14:textId="77777777" w:rsidR="000B61C7" w:rsidRDefault="000F2A5E">
      <w:r>
        <w:rPr>
          <w:b/>
          <w:color w:val="17365D"/>
          <w:sz w:val="22"/>
        </w:rPr>
        <w:t>Headline findings</w:t>
      </w:r>
    </w:p>
    <w:p w14:paraId="171E6EE1" w14:textId="77777777" w:rsidR="000B61C7" w:rsidRDefault="000F2A5E">
      <w:pPr>
        <w:pStyle w:val="ListBullet"/>
        <w:spacing w:after="60"/>
      </w:pPr>
      <w:r>
        <w:t>Satisfaction with Bradley Stoke as a place to live is positive overall, with an average score of 7/10, while satisfaction with Town Council services is lower at 6/10.</w:t>
      </w:r>
    </w:p>
    <w:p w14:paraId="0590791F" w14:textId="77777777" w:rsidR="000B61C7" w:rsidRDefault="000F2A5E">
      <w:pPr>
        <w:pStyle w:val="ListBullet"/>
        <w:spacing w:after="60"/>
      </w:pPr>
      <w:r>
        <w:t>Residents feel substantially safer during the day than at night: 86.09% report feeling safe or very safe in daylight, compared with 43.53% at night.</w:t>
      </w:r>
    </w:p>
    <w:p w14:paraId="12834367" w14:textId="77777777" w:rsidR="000B61C7" w:rsidRDefault="000F2A5E">
      <w:pPr>
        <w:pStyle w:val="ListBullet"/>
        <w:spacing w:after="60"/>
      </w:pPr>
      <w:r>
        <w:t>Community safety is the clearest priority, rated important or very important by 98.68% of respondents. Environment (88.26%) and enhancement of open spaces (84.72%) also rank highly.</w:t>
      </w:r>
    </w:p>
    <w:p w14:paraId="50BD6F2E" w14:textId="77777777" w:rsidR="000B61C7" w:rsidRDefault="000F2A5E">
      <w:pPr>
        <w:pStyle w:val="ListBullet"/>
        <w:spacing w:after="60"/>
      </w:pPr>
      <w:r>
        <w:t>Fireworks is the best-attended listed Council event (55.23%). Looking ahead, 60.59% would like more community fairs and markets.</w:t>
      </w:r>
    </w:p>
    <w:p w14:paraId="0E5F0A5C" w14:textId="77777777" w:rsidR="000B61C7" w:rsidRDefault="000F2A5E">
      <w:pPr>
        <w:pStyle w:val="ListBullet"/>
        <w:spacing w:after="60"/>
      </w:pPr>
      <w:r>
        <w:t>Social media is currently the dominant information channel (74.04%), but demand for the newsletter (63.16%) and Council website (30.70%) is materially higher than current use.</w:t>
      </w:r>
    </w:p>
    <w:p w14:paraId="6F1D2C4F" w14:textId="77777777" w:rsidR="000B61C7" w:rsidRDefault="000F2A5E">
      <w:pPr>
        <w:pStyle w:val="ListBullet"/>
        <w:spacing w:after="60"/>
      </w:pPr>
      <w:r>
        <w:t>Traffic and congestion is the weakest transport-related measure: 69.53% are dissatisfied or very dissatisfied.</w:t>
      </w:r>
    </w:p>
    <w:p w14:paraId="4D39B814" w14:textId="77777777" w:rsidR="000B61C7" w:rsidRDefault="000F2A5E">
      <w:pPr>
        <w:pStyle w:val="Heading1"/>
      </w:pPr>
      <w:r>
        <w:t>1. Survey reach and respondent profile</w:t>
      </w:r>
    </w:p>
    <w:p w14:paraId="3A57A7F7" w14:textId="77777777" w:rsidR="000B61C7" w:rsidRDefault="000F2A5E">
      <w:r>
        <w:t>The attached SurveyMonkey export records 289 responses to the opening questions. The number answering individual questions then varies, so percentages in this report use the denominator shown for each question rather than assuming a single fixed sample size.</w:t>
      </w:r>
    </w:p>
    <w:p w14:paraId="4FD37A42" w14:textId="77777777" w:rsidR="000B61C7" w:rsidRDefault="000F2A5E">
      <w:r>
        <w:rPr>
          <w:noProof/>
        </w:rPr>
        <w:lastRenderedPageBreak/>
        <w:drawing>
          <wp:inline distT="0" distB="0" distL="0" distR="0" wp14:anchorId="31BA92CB" wp14:editId="5D9E41B9">
            <wp:extent cx="5943600" cy="520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residence.png"/>
                    <pic:cNvPicPr/>
                  </pic:nvPicPr>
                  <pic:blipFill>
                    <a:blip r:embed="rId11"/>
                    <a:stretch>
                      <a:fillRect/>
                    </a:stretch>
                  </pic:blipFill>
                  <pic:spPr>
                    <a:xfrm>
                      <a:off x="0" y="0"/>
                      <a:ext cx="5943600" cy="5200650"/>
                    </a:xfrm>
                    <a:prstGeom prst="rect">
                      <a:avLst/>
                    </a:prstGeom>
                  </pic:spPr>
                </pic:pic>
              </a:graphicData>
            </a:graphic>
          </wp:inline>
        </w:drawing>
      </w:r>
    </w:p>
    <w:p w14:paraId="7F061369" w14:textId="77777777" w:rsidR="000B61C7" w:rsidRDefault="000F2A5E">
      <w:pPr>
        <w:spacing w:after="160"/>
        <w:jc w:val="center"/>
      </w:pPr>
      <w:r>
        <w:rPr>
          <w:i/>
          <w:color w:val="68737D"/>
          <w:sz w:val="17"/>
        </w:rPr>
        <w:t>Figure 1. Length of residence in Bradley Stoke (Q2, 289 responses).</w:t>
      </w:r>
    </w:p>
    <w:p w14:paraId="27239064" w14:textId="77777777" w:rsidR="000B61C7" w:rsidRDefault="000F2A5E">
      <w:r>
        <w:t>Nearly half of respondents have lived in Bradley Stoke for more than 20 years: 27.34% for 21-30 years and 21.80% for more than 30 years. This gives the survey a strong contribution from long-standing residents, but relatively few responses from residents who moved to the area within the last year (1.38%).</w:t>
      </w:r>
    </w:p>
    <w:p w14:paraId="1A671FE0" w14:textId="77777777" w:rsidR="000B61C7" w:rsidRDefault="000F2A5E">
      <w:pPr>
        <w:pStyle w:val="Heading1"/>
      </w:pPr>
      <w:r>
        <w:t>2. Satisfaction, safety and sense of community</w:t>
      </w:r>
    </w:p>
    <w:p w14:paraId="013E9C29" w14:textId="77777777" w:rsidR="000B61C7" w:rsidRDefault="000F2A5E">
      <w:r>
        <w:t>Overall satisfaction with Bradley Stoke as a place to live is reported as 7/10 (265 respondents). Satisfaction with services provided by Bradley Stoke Town Council is reported as 6/10 (198 respondents).</w:t>
      </w:r>
    </w:p>
    <w:p w14:paraId="59F984D2" w14:textId="77777777" w:rsidR="000B61C7" w:rsidRDefault="000F2A5E">
      <w:r>
        <w:rPr>
          <w:noProof/>
        </w:rPr>
        <w:lastRenderedPageBreak/>
        <w:drawing>
          <wp:inline distT="0" distB="0" distL="0" distR="0" wp14:anchorId="1B4C3718" wp14:editId="55EA41E0">
            <wp:extent cx="6080760" cy="34106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safety.png"/>
                    <pic:cNvPicPr/>
                  </pic:nvPicPr>
                  <pic:blipFill>
                    <a:blip r:embed="rId12"/>
                    <a:stretch>
                      <a:fillRect/>
                    </a:stretch>
                  </pic:blipFill>
                  <pic:spPr>
                    <a:xfrm>
                      <a:off x="0" y="0"/>
                      <a:ext cx="6080760" cy="3410611"/>
                    </a:xfrm>
                    <a:prstGeom prst="rect">
                      <a:avLst/>
                    </a:prstGeom>
                  </pic:spPr>
                </pic:pic>
              </a:graphicData>
            </a:graphic>
          </wp:inline>
        </w:drawing>
      </w:r>
    </w:p>
    <w:p w14:paraId="54694168" w14:textId="77777777" w:rsidR="000B61C7" w:rsidRDefault="000F2A5E">
      <w:pPr>
        <w:spacing w:after="160"/>
        <w:jc w:val="center"/>
      </w:pPr>
      <w:r>
        <w:rPr>
          <w:i/>
          <w:color w:val="68737D"/>
          <w:sz w:val="17"/>
        </w:rPr>
        <w:t>Figure 2. Perceived safety in daylight and at night (Q4).</w:t>
      </w:r>
    </w:p>
    <w:p w14:paraId="64FF2545" w14:textId="77777777" w:rsidR="000B61C7" w:rsidRDefault="000F2A5E">
      <w:r>
        <w:t>The day/night contrast is pronounced. During daylight hours, 36.09% feel very safe and 50.00% safe. At night, only 4.71% feel very safe and 38.82% safe, while 21.18% feel unsafe and 6.67% very unsafe. This is consistent with community safety being the highest-rated priority later in the survey.</w:t>
      </w:r>
    </w:p>
    <w:p w14:paraId="2B45B6E3" w14:textId="77777777" w:rsidR="000B61C7" w:rsidRDefault="000F2A5E">
      <w:r>
        <w:rPr>
          <w:noProof/>
        </w:rPr>
        <w:drawing>
          <wp:inline distT="0" distB="0" distL="0" distR="0" wp14:anchorId="16EE0405" wp14:editId="441CFEE5">
            <wp:extent cx="5897880" cy="34373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community.png"/>
                    <pic:cNvPicPr/>
                  </pic:nvPicPr>
                  <pic:blipFill>
                    <a:blip r:embed="rId13"/>
                    <a:stretch>
                      <a:fillRect/>
                    </a:stretch>
                  </pic:blipFill>
                  <pic:spPr>
                    <a:xfrm>
                      <a:off x="0" y="0"/>
                      <a:ext cx="5897880" cy="3437358"/>
                    </a:xfrm>
                    <a:prstGeom prst="rect">
                      <a:avLst/>
                    </a:prstGeom>
                  </pic:spPr>
                </pic:pic>
              </a:graphicData>
            </a:graphic>
          </wp:inline>
        </w:drawing>
      </w:r>
    </w:p>
    <w:p w14:paraId="2C85EEBE" w14:textId="77777777" w:rsidR="000B61C7" w:rsidRDefault="000F2A5E">
      <w:pPr>
        <w:spacing w:after="160"/>
        <w:jc w:val="center"/>
      </w:pPr>
      <w:r>
        <w:rPr>
          <w:i/>
          <w:color w:val="68737D"/>
          <w:sz w:val="17"/>
        </w:rPr>
        <w:t>Figure 3. Published response percentages for sense of community (Q9).</w:t>
      </w:r>
    </w:p>
    <w:p w14:paraId="2924C56B" w14:textId="77777777" w:rsidR="000B61C7" w:rsidRDefault="000F2A5E">
      <w:r>
        <w:t>The published Q9 figures show 50.00% selecting either “yes, strongly” or “yes, somewhat”, 15.29% “not sure”, and 35.54% selecting either negative option. The source export contains a small internal inconsistency for this question: the category counts total 244 while the page states 242 total respondents. The chart therefore reproduces the published percentages rather than recalculating them.</w:t>
      </w:r>
    </w:p>
    <w:p w14:paraId="02B65DE9" w14:textId="77777777" w:rsidR="000B61C7" w:rsidRDefault="000F2A5E">
      <w:pPr>
        <w:pStyle w:val="Heading1"/>
      </w:pPr>
      <w:r>
        <w:lastRenderedPageBreak/>
        <w:t>3. Use of facilities and local amenities</w:t>
      </w:r>
    </w:p>
    <w:p w14:paraId="293D646D" w14:textId="77777777" w:rsidR="000B61C7" w:rsidRDefault="000F2A5E">
      <w:r>
        <w:t>Use varies sharply between everyday amenities and Council/community facilities. Local shops are used daily or weekly by 94.78% of respondents. The Nature Reserve is also heavily used, with 55.64% visiting daily or weekly and only 4.84% saying they never use it.</w:t>
      </w:r>
    </w:p>
    <w:p w14:paraId="33426698" w14:textId="77777777" w:rsidR="000B61C7" w:rsidRDefault="000F2A5E">
      <w:r>
        <w:rPr>
          <w:noProof/>
        </w:rPr>
        <w:drawing>
          <wp:inline distT="0" distB="0" distL="0" distR="0" wp14:anchorId="276B712F" wp14:editId="5FE1D151">
            <wp:extent cx="6172200" cy="38938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facility_use.png"/>
                    <pic:cNvPicPr/>
                  </pic:nvPicPr>
                  <pic:blipFill>
                    <a:blip r:embed="rId14"/>
                    <a:stretch>
                      <a:fillRect/>
                    </a:stretch>
                  </pic:blipFill>
                  <pic:spPr>
                    <a:xfrm>
                      <a:off x="0" y="0"/>
                      <a:ext cx="6172200" cy="3893845"/>
                    </a:xfrm>
                    <a:prstGeom prst="rect">
                      <a:avLst/>
                    </a:prstGeom>
                  </pic:spPr>
                </pic:pic>
              </a:graphicData>
            </a:graphic>
          </wp:inline>
        </w:drawing>
      </w:r>
    </w:p>
    <w:p w14:paraId="15669A28" w14:textId="77777777" w:rsidR="000B61C7" w:rsidRDefault="000F2A5E">
      <w:pPr>
        <w:spacing w:after="160"/>
        <w:jc w:val="center"/>
      </w:pPr>
      <w:r>
        <w:rPr>
          <w:i/>
          <w:color w:val="68737D"/>
          <w:sz w:val="17"/>
        </w:rPr>
        <w:t>Figure 4. Frequency of use of facilities and amenities (Q6).</w:t>
      </w:r>
    </w:p>
    <w:p w14:paraId="1C34A835" w14:textId="77777777" w:rsidR="000B61C7" w:rsidRDefault="000F2A5E">
      <w:r>
        <w:t>The Skate Park has the lowest recorded use among respondents, with 86.94% saying they never use it. Baileys Court Activity Centre (72.47% never), Brook Way Activity Centre (67.90% never) and Play Areas (55.79% never) also have high “never” responses within this survey sample. These results should be interpreted alongside the demographic profile, particularly the absence of under-18 respondents.</w:t>
      </w:r>
    </w:p>
    <w:p w14:paraId="2B25AB28" w14:textId="77777777" w:rsidR="000B61C7" w:rsidRDefault="000F2A5E">
      <w:pPr>
        <w:pStyle w:val="Heading1"/>
      </w:pPr>
      <w:r>
        <w:t>4. Community events and future activity</w:t>
      </w:r>
    </w:p>
    <w:p w14:paraId="5F23F652" w14:textId="77777777" w:rsidR="000B61C7" w:rsidRDefault="000F2A5E">
      <w:r>
        <w:t>Of the listed Town Council events, Fireworks has the strongest reported reach. 35.56% selected “none of the above”, showing that a substantial minority of respondents had not attended any of the listed events during the previous 12 months.</w:t>
      </w:r>
    </w:p>
    <w:p w14:paraId="01AD8B00" w14:textId="77777777" w:rsidR="000B61C7" w:rsidRDefault="000F2A5E">
      <w:r>
        <w:rPr>
          <w:noProof/>
        </w:rPr>
        <w:drawing>
          <wp:inline distT="0" distB="0" distL="0" distR="0" wp14:anchorId="752807EF" wp14:editId="1BC5512A">
            <wp:extent cx="6080760" cy="358310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events_attended.png"/>
                    <pic:cNvPicPr/>
                  </pic:nvPicPr>
                  <pic:blipFill>
                    <a:blip r:embed="rId15"/>
                    <a:stretch>
                      <a:fillRect/>
                    </a:stretch>
                  </pic:blipFill>
                  <pic:spPr>
                    <a:xfrm>
                      <a:off x="0" y="0"/>
                      <a:ext cx="6080760" cy="3583104"/>
                    </a:xfrm>
                    <a:prstGeom prst="rect">
                      <a:avLst/>
                    </a:prstGeom>
                  </pic:spPr>
                </pic:pic>
              </a:graphicData>
            </a:graphic>
          </wp:inline>
        </w:drawing>
      </w:r>
    </w:p>
    <w:p w14:paraId="79BA1EFE" w14:textId="77777777" w:rsidR="000B61C7" w:rsidRDefault="000F2A5E">
      <w:pPr>
        <w:spacing w:after="160"/>
        <w:jc w:val="center"/>
      </w:pPr>
      <w:r>
        <w:rPr>
          <w:i/>
          <w:color w:val="68737D"/>
          <w:sz w:val="17"/>
        </w:rPr>
        <w:t>Figure 5. Attendance at Town Council events in the past 12 months (Q10, multiple selections allowed).</w:t>
      </w:r>
    </w:p>
    <w:p w14:paraId="7443E59E" w14:textId="77777777" w:rsidR="000B61C7" w:rsidRDefault="000F2A5E">
      <w:r>
        <w:rPr>
          <w:noProof/>
        </w:rPr>
        <w:drawing>
          <wp:inline distT="0" distB="0" distL="0" distR="0" wp14:anchorId="7BC77D1D" wp14:editId="2F17BEF7">
            <wp:extent cx="6080760" cy="340374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events_wanted.png"/>
                    <pic:cNvPicPr/>
                  </pic:nvPicPr>
                  <pic:blipFill>
                    <a:blip r:embed="rId16"/>
                    <a:stretch>
                      <a:fillRect/>
                    </a:stretch>
                  </pic:blipFill>
                  <pic:spPr>
                    <a:xfrm>
                      <a:off x="0" y="0"/>
                      <a:ext cx="6080760" cy="3403747"/>
                    </a:xfrm>
                    <a:prstGeom prst="rect">
                      <a:avLst/>
                    </a:prstGeom>
                  </pic:spPr>
                </pic:pic>
              </a:graphicData>
            </a:graphic>
          </wp:inline>
        </w:drawing>
      </w:r>
    </w:p>
    <w:p w14:paraId="6BCCCC2B" w14:textId="77777777" w:rsidR="000B61C7" w:rsidRDefault="000F2A5E">
      <w:pPr>
        <w:spacing w:after="160"/>
        <w:jc w:val="center"/>
      </w:pPr>
      <w:r>
        <w:rPr>
          <w:i/>
          <w:color w:val="68737D"/>
          <w:sz w:val="17"/>
        </w:rPr>
        <w:t>Figure 6. Types of events or activities residents would like to see more of (Q11, multiple selections allowed).</w:t>
      </w:r>
    </w:p>
    <w:p w14:paraId="2AC16B82" w14:textId="77777777" w:rsidR="000B61C7" w:rsidRDefault="000F2A5E">
      <w:r>
        <w:t>Community fairs and markets stand out as the clearest area of additional demand at 60.59%. Family activities rank second at 36.86%, followed by arts/culture (31.78%), environmental activities (30.93%) and youth activities (29.66%). Only 5.08% selected “none of the above”.</w:t>
      </w:r>
    </w:p>
    <w:p w14:paraId="594624A1" w14:textId="77777777" w:rsidR="000B61C7" w:rsidRDefault="000F2A5E">
      <w:pPr>
        <w:pStyle w:val="Heading1"/>
      </w:pPr>
      <w:r>
        <w:t>5. Communications and engagement</w:t>
      </w:r>
    </w:p>
    <w:p w14:paraId="72F81C7C" w14:textId="77777777" w:rsidR="000B61C7" w:rsidRDefault="000F2A5E">
      <w:r>
        <w:t>Residents rated how well informed they feel about the work of Bradley Stoke Town Council at an average of 5/10 (230 respondents). The channel results suggest that the issue is not simply the absence of communication, but also the mix of channels used.</w:t>
      </w:r>
    </w:p>
    <w:p w14:paraId="3369C5BF" w14:textId="77777777" w:rsidR="000B61C7" w:rsidRDefault="000F2A5E">
      <w:r>
        <w:rPr>
          <w:noProof/>
        </w:rPr>
        <w:drawing>
          <wp:inline distT="0" distB="0" distL="0" distR="0" wp14:anchorId="3D05E644" wp14:editId="265FA50F">
            <wp:extent cx="6080760" cy="39596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communications.png"/>
                    <pic:cNvPicPr/>
                  </pic:nvPicPr>
                  <pic:blipFill>
                    <a:blip r:embed="rId17"/>
                    <a:stretch>
                      <a:fillRect/>
                    </a:stretch>
                  </pic:blipFill>
                  <pic:spPr>
                    <a:xfrm>
                      <a:off x="0" y="0"/>
                      <a:ext cx="6080760" cy="3959676"/>
                    </a:xfrm>
                    <a:prstGeom prst="rect">
                      <a:avLst/>
                    </a:prstGeom>
                  </pic:spPr>
                </pic:pic>
              </a:graphicData>
            </a:graphic>
          </wp:inline>
        </w:drawing>
      </w:r>
    </w:p>
    <w:p w14:paraId="7BD3FE3C" w14:textId="77777777" w:rsidR="000B61C7" w:rsidRDefault="000F2A5E">
      <w:pPr>
        <w:spacing w:after="160"/>
        <w:jc w:val="center"/>
      </w:pPr>
      <w:r>
        <w:rPr>
          <w:i/>
          <w:color w:val="68737D"/>
          <w:sz w:val="17"/>
        </w:rPr>
        <w:t>Figure 7. Current and preferred information channels (Q14 and Q16, multiple selections allowed).</w:t>
      </w:r>
    </w:p>
    <w:p w14:paraId="0ECD3970" w14:textId="77777777" w:rsidR="000B61C7" w:rsidRDefault="000F2A5E">
      <w:r>
        <w:t>Social media remains the strongest channel, with 74.04% currently receiving information this way and 72.81% preferring it. However, the newsletter shows the largest positive gap between current and preferred use, rising from 43.83% to 63.16%. Preference for the Council website also increases from 16.60% to 30.70%, and noticeboards from 11.06% to 18.86%. Word of mouth moves in the opposite direction, from 25.11% current use to 7.89% preferred.</w:t>
      </w:r>
    </w:p>
    <w:p w14:paraId="7221380E" w14:textId="77777777" w:rsidR="000B61C7" w:rsidRDefault="000F2A5E">
      <w:pPr>
        <w:pStyle w:val="Heading1"/>
      </w:pPr>
      <w:r>
        <w:t>6. Travel, roads and transport-related satisfaction</w:t>
      </w:r>
    </w:p>
    <w:p w14:paraId="7F705E07" w14:textId="77777777" w:rsidR="000B61C7" w:rsidRDefault="000F2A5E">
      <w:r>
        <w:t>Car/van and walking are both widely used, reflecting a mixed pattern of motorised and active travel. Bus use is reported by 29.66% and cycling by 18.22%.</w:t>
      </w:r>
    </w:p>
    <w:p w14:paraId="14D436F2" w14:textId="77777777" w:rsidR="000B61C7" w:rsidRDefault="000F2A5E">
      <w:r>
        <w:rPr>
          <w:noProof/>
        </w:rPr>
        <w:drawing>
          <wp:inline distT="0" distB="0" distL="0" distR="0" wp14:anchorId="3E4BE892" wp14:editId="012604C1">
            <wp:extent cx="5989320" cy="324590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travel_modes.png"/>
                    <pic:cNvPicPr/>
                  </pic:nvPicPr>
                  <pic:blipFill>
                    <a:blip r:embed="rId18"/>
                    <a:stretch>
                      <a:fillRect/>
                    </a:stretch>
                  </pic:blipFill>
                  <pic:spPr>
                    <a:xfrm>
                      <a:off x="0" y="0"/>
                      <a:ext cx="5989320" cy="3245904"/>
                    </a:xfrm>
                    <a:prstGeom prst="rect">
                      <a:avLst/>
                    </a:prstGeom>
                  </pic:spPr>
                </pic:pic>
              </a:graphicData>
            </a:graphic>
          </wp:inline>
        </w:drawing>
      </w:r>
    </w:p>
    <w:p w14:paraId="2C4C93E5" w14:textId="77777777" w:rsidR="000B61C7" w:rsidRDefault="000F2A5E">
      <w:pPr>
        <w:spacing w:after="160"/>
        <w:jc w:val="center"/>
      </w:pPr>
      <w:r>
        <w:rPr>
          <w:i/>
          <w:color w:val="68737D"/>
          <w:sz w:val="17"/>
        </w:rPr>
        <w:t>Figure 8. Usual travel modes around Bradley Stoke (Q18, multiple selections allowed).</w:t>
      </w:r>
    </w:p>
    <w:p w14:paraId="10D27197" w14:textId="77777777" w:rsidR="000B61C7" w:rsidRDefault="000F2A5E">
      <w:r>
        <w:rPr>
          <w:noProof/>
        </w:rPr>
        <w:drawing>
          <wp:inline distT="0" distB="0" distL="0" distR="0" wp14:anchorId="2A91202E" wp14:editId="1C8C43CE">
            <wp:extent cx="6080760" cy="33922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transport_satisfaction.png"/>
                    <pic:cNvPicPr/>
                  </pic:nvPicPr>
                  <pic:blipFill>
                    <a:blip r:embed="rId19"/>
                    <a:stretch>
                      <a:fillRect/>
                    </a:stretch>
                  </pic:blipFill>
                  <pic:spPr>
                    <a:xfrm>
                      <a:off x="0" y="0"/>
                      <a:ext cx="6080760" cy="3392258"/>
                    </a:xfrm>
                    <a:prstGeom prst="rect">
                      <a:avLst/>
                    </a:prstGeom>
                  </pic:spPr>
                </pic:pic>
              </a:graphicData>
            </a:graphic>
          </wp:inline>
        </w:drawing>
      </w:r>
    </w:p>
    <w:p w14:paraId="745C6693" w14:textId="77777777" w:rsidR="000B61C7" w:rsidRDefault="000F2A5E">
      <w:pPr>
        <w:spacing w:after="160"/>
        <w:jc w:val="center"/>
      </w:pPr>
      <w:r>
        <w:rPr>
          <w:i/>
          <w:color w:val="68737D"/>
          <w:sz w:val="17"/>
        </w:rPr>
        <w:t>Figure 9. Satisfaction with walking, cycling, traffic and parking (Q20).</w:t>
      </w:r>
    </w:p>
    <w:p w14:paraId="17D80280" w14:textId="77777777" w:rsidR="000B61C7" w:rsidRDefault="000F2A5E">
      <w:r>
        <w:t>Pavements and walking routes perform relatively strongly, with 65.96% satisfied or very satisfied. Parking is more evenly balanced, with 50.00% satisfied or very satisfied and 20.43% dissatisfied or very dissatisfied. Traffic and congestion is the clear weakness: 69.53% are dissatisfied or very dissatisfied, compared with only 12.02% satisfied or very satisfied. Cycling infrastructure has a large neutral group (38.53%), with 40.83% satisfied or very satisfied and 20.64% dissatisfied or very dissatisfied.</w:t>
      </w:r>
    </w:p>
    <w:p w14:paraId="54E4ADF5" w14:textId="77777777" w:rsidR="000B61C7" w:rsidRDefault="000F2A5E">
      <w:pPr>
        <w:pStyle w:val="Heading1"/>
      </w:pPr>
      <w:r>
        <w:t>7. Priorities for Bradley Stoke</w:t>
      </w:r>
    </w:p>
    <w:p w14:paraId="63F27874" w14:textId="77777777" w:rsidR="000B61C7" w:rsidRDefault="000F2A5E">
      <w:r>
        <w:t>Respondents were asked to rate nine issues from “very important” to “not important”. The chart below combines “very important” and “important” responses to show the relative strength of support.</w:t>
      </w:r>
    </w:p>
    <w:p w14:paraId="6803DBEC" w14:textId="77777777" w:rsidR="000B61C7" w:rsidRDefault="000F2A5E">
      <w:r>
        <w:rPr>
          <w:noProof/>
        </w:rPr>
        <w:drawing>
          <wp:inline distT="0" distB="0" distL="0" distR="0" wp14:anchorId="4C11F291" wp14:editId="679373C3">
            <wp:extent cx="6080760" cy="31048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priorities.png"/>
                    <pic:cNvPicPr/>
                  </pic:nvPicPr>
                  <pic:blipFill>
                    <a:blip r:embed="rId20"/>
                    <a:stretch>
                      <a:fillRect/>
                    </a:stretch>
                  </pic:blipFill>
                  <pic:spPr>
                    <a:xfrm>
                      <a:off x="0" y="0"/>
                      <a:ext cx="6080760" cy="3104834"/>
                    </a:xfrm>
                    <a:prstGeom prst="rect">
                      <a:avLst/>
                    </a:prstGeom>
                  </pic:spPr>
                </pic:pic>
              </a:graphicData>
            </a:graphic>
          </wp:inline>
        </w:drawing>
      </w:r>
    </w:p>
    <w:p w14:paraId="7718C825" w14:textId="77777777" w:rsidR="000B61C7" w:rsidRDefault="000F2A5E">
      <w:pPr>
        <w:spacing w:after="160"/>
        <w:jc w:val="center"/>
      </w:pPr>
      <w:r>
        <w:rPr>
          <w:i/>
          <w:color w:val="68737D"/>
          <w:sz w:val="17"/>
        </w:rPr>
        <w:t>Figure 10. Issues rated important or very important (Q22).</w:t>
      </w:r>
    </w:p>
    <w:p w14:paraId="0CC3245D" w14:textId="77777777" w:rsidR="000B61C7" w:rsidRDefault="000F2A5E">
      <w:r>
        <w:t>Community safety is the dominant priority at 98.68%, including 75.00% who selected “very important”. Environment (88.26%) and enhancement of open spaces (84.72%) form the next tier. All nine listed issues receive majority support, with even the lowest-ranked item, play areas, rated important or very important by 66.52%.</w:t>
      </w:r>
    </w:p>
    <w:p w14:paraId="3556AD12" w14:textId="77777777" w:rsidR="000B61C7" w:rsidRDefault="000F2A5E">
      <w:pPr>
        <w:pStyle w:val="Heading1"/>
      </w:pPr>
      <w:r>
        <w:t>8. Respondent profile and interpretation</w:t>
      </w:r>
    </w:p>
    <w:tbl>
      <w:tblPr>
        <w:tblW w:w="0" w:type="auto"/>
        <w:jc w:val="center"/>
        <w:tblLayout w:type="fixed"/>
        <w:tblLook w:val="04A0" w:firstRow="1" w:lastRow="0" w:firstColumn="1" w:lastColumn="0" w:noHBand="0" w:noVBand="1"/>
      </w:tblPr>
      <w:tblGrid>
        <w:gridCol w:w="5018"/>
        <w:gridCol w:w="5018"/>
      </w:tblGrid>
      <w:tr w:rsidR="000B61C7" w14:paraId="0FB98C56" w14:textId="77777777">
        <w:trPr>
          <w:jc w:val="center"/>
        </w:trPr>
        <w:tc>
          <w:tcPr>
            <w:tcW w:w="5018" w:type="dxa"/>
            <w:shd w:val="clear" w:color="auto" w:fill="17365D"/>
            <w:tcMar>
              <w:top w:w="100" w:type="dxa"/>
              <w:left w:w="100" w:type="dxa"/>
              <w:bottom w:w="100" w:type="dxa"/>
              <w:right w:w="100" w:type="dxa"/>
            </w:tcMar>
          </w:tcPr>
          <w:p w14:paraId="593A6899" w14:textId="77777777" w:rsidR="000B61C7" w:rsidRDefault="000F2A5E">
            <w:r>
              <w:rPr>
                <w:b/>
                <w:color w:val="FFFFFF"/>
              </w:rPr>
              <w:t>Age profile</w:t>
            </w:r>
          </w:p>
        </w:tc>
        <w:tc>
          <w:tcPr>
            <w:tcW w:w="5018" w:type="dxa"/>
            <w:shd w:val="clear" w:color="auto" w:fill="17365D"/>
            <w:tcMar>
              <w:top w:w="100" w:type="dxa"/>
              <w:left w:w="100" w:type="dxa"/>
              <w:bottom w:w="100" w:type="dxa"/>
              <w:right w:w="100" w:type="dxa"/>
            </w:tcMar>
          </w:tcPr>
          <w:p w14:paraId="30CBA65A" w14:textId="77777777" w:rsidR="000B61C7" w:rsidRDefault="000F2A5E">
            <w:r>
              <w:rPr>
                <w:b/>
                <w:color w:val="FFFFFF"/>
              </w:rPr>
              <w:t>Gender profile</w:t>
            </w:r>
          </w:p>
        </w:tc>
      </w:tr>
      <w:tr w:rsidR="000B61C7" w14:paraId="0CFA48C9" w14:textId="77777777">
        <w:trPr>
          <w:jc w:val="center"/>
        </w:trPr>
        <w:tc>
          <w:tcPr>
            <w:tcW w:w="4819" w:type="dxa"/>
          </w:tcPr>
          <w:p w14:paraId="5C497736" w14:textId="77777777" w:rsidR="000B61C7" w:rsidRDefault="000F2A5E">
            <w:r>
              <w:t>No under-18 respondents. Published figures indicate 68.61% aged 35-64.</w:t>
            </w:r>
          </w:p>
        </w:tc>
        <w:tc>
          <w:tcPr>
            <w:tcW w:w="4819" w:type="dxa"/>
          </w:tcPr>
          <w:p w14:paraId="096F46C2" w14:textId="77777777" w:rsidR="000B61C7" w:rsidRDefault="000F2A5E">
            <w:r>
              <w:t>70.09% female, 25.89% male, 3.57% prefer not to say and 0.45% non-binary.</w:t>
            </w:r>
          </w:p>
        </w:tc>
      </w:tr>
    </w:tbl>
    <w:p w14:paraId="78C7055B" w14:textId="77777777" w:rsidR="000B61C7" w:rsidRDefault="000B61C7"/>
    <w:p w14:paraId="0625790F" w14:textId="77777777" w:rsidR="000B61C7" w:rsidRDefault="000F2A5E">
      <w:r>
        <w:rPr>
          <w:noProof/>
        </w:rPr>
        <w:drawing>
          <wp:inline distT="0" distB="0" distL="0" distR="0" wp14:anchorId="1ECCE226" wp14:editId="350C8B45">
            <wp:extent cx="5715000" cy="329859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_age.png"/>
                    <pic:cNvPicPr/>
                  </pic:nvPicPr>
                  <pic:blipFill>
                    <a:blip r:embed="rId21"/>
                    <a:stretch>
                      <a:fillRect/>
                    </a:stretch>
                  </pic:blipFill>
                  <pic:spPr>
                    <a:xfrm>
                      <a:off x="0" y="0"/>
                      <a:ext cx="5715000" cy="3298591"/>
                    </a:xfrm>
                    <a:prstGeom prst="rect">
                      <a:avLst/>
                    </a:prstGeom>
                  </pic:spPr>
                </pic:pic>
              </a:graphicData>
            </a:graphic>
          </wp:inline>
        </w:drawing>
      </w:r>
    </w:p>
    <w:p w14:paraId="66A1F7CF" w14:textId="77777777" w:rsidR="000B61C7" w:rsidRDefault="000F2A5E">
      <w:pPr>
        <w:spacing w:after="160"/>
        <w:jc w:val="center"/>
      </w:pPr>
      <w:r>
        <w:rPr>
          <w:i/>
          <w:color w:val="68737D"/>
          <w:sz w:val="17"/>
        </w:rPr>
        <w:t>Figure 11. Published age profile (Q25).</w:t>
      </w:r>
    </w:p>
    <w:p w14:paraId="6EACA55A" w14:textId="77777777" w:rsidR="000B61C7" w:rsidRDefault="000F2A5E">
      <w:r>
        <w:rPr>
          <w:noProof/>
        </w:rPr>
        <w:drawing>
          <wp:inline distT="0" distB="0" distL="0" distR="0" wp14:anchorId="3D47AA23" wp14:editId="0156D2EA">
            <wp:extent cx="5257800" cy="38670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_gender.png"/>
                    <pic:cNvPicPr/>
                  </pic:nvPicPr>
                  <pic:blipFill>
                    <a:blip r:embed="rId22"/>
                    <a:stretch>
                      <a:fillRect/>
                    </a:stretch>
                  </pic:blipFill>
                  <pic:spPr>
                    <a:xfrm>
                      <a:off x="0" y="0"/>
                      <a:ext cx="5257800" cy="3867065"/>
                    </a:xfrm>
                    <a:prstGeom prst="rect">
                      <a:avLst/>
                    </a:prstGeom>
                  </pic:spPr>
                </pic:pic>
              </a:graphicData>
            </a:graphic>
          </wp:inline>
        </w:drawing>
      </w:r>
    </w:p>
    <w:p w14:paraId="70504FC6" w14:textId="77777777" w:rsidR="000B61C7" w:rsidRDefault="000F2A5E">
      <w:pPr>
        <w:spacing w:after="160"/>
        <w:jc w:val="center"/>
      </w:pPr>
      <w:r>
        <w:rPr>
          <w:i/>
          <w:color w:val="68737D"/>
          <w:sz w:val="17"/>
        </w:rPr>
        <w:t>Figure 12. Gender profile (Q26).</w:t>
      </w:r>
    </w:p>
    <w:p w14:paraId="5411564A" w14:textId="77777777" w:rsidR="000B61C7" w:rsidRDefault="000F2A5E">
      <w:r>
        <w:t>The profile matters when interpreting service-use results. In particular, the survey contains no under-18 respondents and only 0.90% aged 18-24, while women account for 70.09% of gender responses. The age export also contains a small internal inconsistency: category counts total 224 while the page states 223 total respondents. As with Q9, published percentages are therefore reproduced rather than recalculated.</w:t>
      </w:r>
    </w:p>
    <w:p w14:paraId="38283C5C" w14:textId="77777777" w:rsidR="000B61C7" w:rsidRDefault="000F2A5E">
      <w:pPr>
        <w:pStyle w:val="Heading1"/>
      </w:pPr>
      <w:r>
        <w:t>9. Qualitative responses and data limitations</w:t>
      </w:r>
    </w:p>
    <w:p w14:paraId="7AA06957" w14:textId="77777777" w:rsidR="000B61C7" w:rsidRDefault="000F2A5E">
      <w:r>
        <w:t>Several questions invited free-text responses, including areas needing improvement, missing facilities or services, roads and junctions of concern, suggestions for improvement and other comments. The attached “Data All” PDF records the number of responses to these questions but does not contain the text of the responses. A defensible thematic analysis cannot therefore be completed from this export alone.</w:t>
      </w:r>
    </w:p>
    <w:p w14:paraId="76F6193A" w14:textId="77777777" w:rsidR="000B61C7" w:rsidRDefault="000F2A5E">
      <w:r>
        <w:rPr>
          <w:b/>
          <w:color w:val="17365D"/>
        </w:rPr>
        <w:t>Free-text response volumes recorded in the export</w:t>
      </w:r>
    </w:p>
    <w:tbl>
      <w:tblPr>
        <w:tblStyle w:val="TableGrid"/>
        <w:tblW w:w="0" w:type="auto"/>
        <w:jc w:val="center"/>
        <w:tblLook w:val="04A0" w:firstRow="1" w:lastRow="0" w:firstColumn="1" w:lastColumn="0" w:noHBand="0" w:noVBand="1"/>
      </w:tblPr>
      <w:tblGrid>
        <w:gridCol w:w="5013"/>
        <w:gridCol w:w="5013"/>
      </w:tblGrid>
      <w:tr w:rsidR="000B61C7" w14:paraId="7E99ED01" w14:textId="77777777">
        <w:trPr>
          <w:tblHeader/>
          <w:jc w:val="center"/>
        </w:trPr>
        <w:tc>
          <w:tcPr>
            <w:tcW w:w="5018" w:type="dxa"/>
            <w:shd w:val="clear" w:color="auto" w:fill="008C7A"/>
            <w:tcMar>
              <w:top w:w="80" w:type="dxa"/>
              <w:left w:w="100" w:type="dxa"/>
              <w:bottom w:w="80" w:type="dxa"/>
              <w:right w:w="100" w:type="dxa"/>
            </w:tcMar>
          </w:tcPr>
          <w:p w14:paraId="5A32B231" w14:textId="77777777" w:rsidR="000B61C7" w:rsidRDefault="000F2A5E">
            <w:r>
              <w:rPr>
                <w:b/>
                <w:color w:val="FFFFFF"/>
              </w:rPr>
              <w:t>Question</w:t>
            </w:r>
          </w:p>
        </w:tc>
        <w:tc>
          <w:tcPr>
            <w:tcW w:w="5018" w:type="dxa"/>
            <w:shd w:val="clear" w:color="auto" w:fill="008C7A"/>
            <w:tcMar>
              <w:top w:w="80" w:type="dxa"/>
              <w:left w:w="100" w:type="dxa"/>
              <w:bottom w:w="80" w:type="dxa"/>
              <w:right w:w="100" w:type="dxa"/>
            </w:tcMar>
          </w:tcPr>
          <w:p w14:paraId="65EADFD5" w14:textId="77777777" w:rsidR="000B61C7" w:rsidRDefault="000F2A5E">
            <w:r>
              <w:rPr>
                <w:b/>
                <w:color w:val="FFFFFF"/>
              </w:rPr>
              <w:t>Responses</w:t>
            </w:r>
          </w:p>
        </w:tc>
      </w:tr>
      <w:tr w:rsidR="000B61C7" w14:paraId="6D229832" w14:textId="77777777">
        <w:trPr>
          <w:jc w:val="center"/>
        </w:trPr>
        <w:tc>
          <w:tcPr>
            <w:tcW w:w="5018" w:type="dxa"/>
            <w:tcMar>
              <w:top w:w="80" w:type="dxa"/>
              <w:left w:w="100" w:type="dxa"/>
              <w:bottom w:w="80" w:type="dxa"/>
              <w:right w:w="100" w:type="dxa"/>
            </w:tcMar>
          </w:tcPr>
          <w:p w14:paraId="72263E84" w14:textId="77777777" w:rsidR="000B61C7" w:rsidRDefault="000F2A5E">
            <w:r>
              <w:t>Q5 - areas where improvements are needed</w:t>
            </w:r>
          </w:p>
        </w:tc>
        <w:tc>
          <w:tcPr>
            <w:tcW w:w="5018" w:type="dxa"/>
            <w:tcMar>
              <w:top w:w="80" w:type="dxa"/>
              <w:left w:w="100" w:type="dxa"/>
              <w:bottom w:w="80" w:type="dxa"/>
              <w:right w:w="100" w:type="dxa"/>
            </w:tcMar>
          </w:tcPr>
          <w:p w14:paraId="4039313C" w14:textId="77777777" w:rsidR="000B61C7" w:rsidRDefault="000F2A5E">
            <w:r>
              <w:t>172</w:t>
            </w:r>
          </w:p>
        </w:tc>
      </w:tr>
      <w:tr w:rsidR="000B61C7" w14:paraId="3B56C920" w14:textId="77777777">
        <w:trPr>
          <w:jc w:val="center"/>
        </w:trPr>
        <w:tc>
          <w:tcPr>
            <w:tcW w:w="5018" w:type="dxa"/>
            <w:tcMar>
              <w:top w:w="80" w:type="dxa"/>
              <w:left w:w="100" w:type="dxa"/>
              <w:bottom w:w="80" w:type="dxa"/>
              <w:right w:w="100" w:type="dxa"/>
            </w:tcMar>
          </w:tcPr>
          <w:p w14:paraId="6335A85A" w14:textId="77777777" w:rsidR="000B61C7" w:rsidRDefault="000F2A5E">
            <w:r>
              <w:t>Q8 - facilities or services felt to be missing</w:t>
            </w:r>
          </w:p>
        </w:tc>
        <w:tc>
          <w:tcPr>
            <w:tcW w:w="5018" w:type="dxa"/>
            <w:tcMar>
              <w:top w:w="80" w:type="dxa"/>
              <w:left w:w="100" w:type="dxa"/>
              <w:bottom w:w="80" w:type="dxa"/>
              <w:right w:w="100" w:type="dxa"/>
            </w:tcMar>
          </w:tcPr>
          <w:p w14:paraId="1C887E02" w14:textId="77777777" w:rsidR="000B61C7" w:rsidRDefault="000F2A5E">
            <w:r>
              <w:t>142</w:t>
            </w:r>
          </w:p>
        </w:tc>
      </w:tr>
      <w:tr w:rsidR="000B61C7" w14:paraId="1733F287" w14:textId="77777777">
        <w:trPr>
          <w:jc w:val="center"/>
        </w:trPr>
        <w:tc>
          <w:tcPr>
            <w:tcW w:w="5018" w:type="dxa"/>
            <w:tcMar>
              <w:top w:w="80" w:type="dxa"/>
              <w:left w:w="100" w:type="dxa"/>
              <w:bottom w:w="80" w:type="dxa"/>
              <w:right w:w="100" w:type="dxa"/>
            </w:tcMar>
          </w:tcPr>
          <w:p w14:paraId="0B6EA586" w14:textId="77777777" w:rsidR="000B61C7" w:rsidRDefault="000F2A5E">
            <w:r>
              <w:t>Q21 - roads or junctions of concern</w:t>
            </w:r>
          </w:p>
        </w:tc>
        <w:tc>
          <w:tcPr>
            <w:tcW w:w="5018" w:type="dxa"/>
            <w:tcMar>
              <w:top w:w="80" w:type="dxa"/>
              <w:left w:w="100" w:type="dxa"/>
              <w:bottom w:w="80" w:type="dxa"/>
              <w:right w:w="100" w:type="dxa"/>
            </w:tcMar>
          </w:tcPr>
          <w:p w14:paraId="2ED0B170" w14:textId="77777777" w:rsidR="000B61C7" w:rsidRDefault="000F2A5E">
            <w:r>
              <w:t>147</w:t>
            </w:r>
          </w:p>
        </w:tc>
      </w:tr>
      <w:tr w:rsidR="000B61C7" w14:paraId="2183E95A" w14:textId="77777777">
        <w:trPr>
          <w:jc w:val="center"/>
        </w:trPr>
        <w:tc>
          <w:tcPr>
            <w:tcW w:w="5018" w:type="dxa"/>
            <w:tcMar>
              <w:top w:w="80" w:type="dxa"/>
              <w:left w:w="100" w:type="dxa"/>
              <w:bottom w:w="80" w:type="dxa"/>
              <w:right w:w="100" w:type="dxa"/>
            </w:tcMar>
          </w:tcPr>
          <w:p w14:paraId="3EEBDA8B" w14:textId="77777777" w:rsidR="000B61C7" w:rsidRDefault="000F2A5E">
            <w:r>
              <w:t>Q23 - suggestions to improve Bradley Stoke</w:t>
            </w:r>
          </w:p>
        </w:tc>
        <w:tc>
          <w:tcPr>
            <w:tcW w:w="5018" w:type="dxa"/>
            <w:tcMar>
              <w:top w:w="80" w:type="dxa"/>
              <w:left w:w="100" w:type="dxa"/>
              <w:bottom w:w="80" w:type="dxa"/>
              <w:right w:w="100" w:type="dxa"/>
            </w:tcMar>
          </w:tcPr>
          <w:p w14:paraId="792BD47E" w14:textId="77777777" w:rsidR="000B61C7" w:rsidRDefault="000F2A5E">
            <w:r>
              <w:t>106</w:t>
            </w:r>
          </w:p>
        </w:tc>
      </w:tr>
      <w:tr w:rsidR="000B61C7" w14:paraId="62E4229B" w14:textId="77777777">
        <w:trPr>
          <w:jc w:val="center"/>
        </w:trPr>
        <w:tc>
          <w:tcPr>
            <w:tcW w:w="5018" w:type="dxa"/>
            <w:tcMar>
              <w:top w:w="80" w:type="dxa"/>
              <w:left w:w="100" w:type="dxa"/>
              <w:bottom w:w="80" w:type="dxa"/>
              <w:right w:w="100" w:type="dxa"/>
            </w:tcMar>
          </w:tcPr>
          <w:p w14:paraId="5C9BD3AC" w14:textId="77777777" w:rsidR="000B61C7" w:rsidRDefault="000F2A5E">
            <w:r>
              <w:t>Q24 - other comments</w:t>
            </w:r>
          </w:p>
        </w:tc>
        <w:tc>
          <w:tcPr>
            <w:tcW w:w="5018" w:type="dxa"/>
            <w:tcMar>
              <w:top w:w="80" w:type="dxa"/>
              <w:left w:w="100" w:type="dxa"/>
              <w:bottom w:w="80" w:type="dxa"/>
              <w:right w:w="100" w:type="dxa"/>
            </w:tcMar>
          </w:tcPr>
          <w:p w14:paraId="61144D3E" w14:textId="77777777" w:rsidR="000B61C7" w:rsidRDefault="000F2A5E">
            <w:r>
              <w:t>78</w:t>
            </w:r>
          </w:p>
        </w:tc>
      </w:tr>
    </w:tbl>
    <w:p w14:paraId="65108167" w14:textId="77777777" w:rsidR="000B61C7" w:rsidRDefault="000F2A5E">
      <w:r>
        <w:rPr>
          <w:b/>
          <w:color w:val="17365D"/>
        </w:rPr>
        <w:t>Interpretation cautions</w:t>
      </w:r>
    </w:p>
    <w:p w14:paraId="4541383D" w14:textId="77777777" w:rsidR="000B61C7" w:rsidRDefault="000F2A5E">
      <w:pPr>
        <w:pStyle w:val="ListBullet"/>
        <w:spacing w:after="60"/>
      </w:pPr>
      <w:r>
        <w:t>The survey is self-selecting, so the results should be treated as indicative of respondents’ views rather than a statistically representative sample of all Bradley Stoke residents.</w:t>
      </w:r>
    </w:p>
    <w:p w14:paraId="7217649C" w14:textId="77777777" w:rsidR="000B61C7" w:rsidRDefault="000F2A5E">
      <w:pPr>
        <w:pStyle w:val="ListBullet"/>
        <w:spacing w:after="60"/>
      </w:pPr>
      <w:r>
        <w:t>Question response counts vary materially. Percentages should be interpreted against the denominator for that individual question.</w:t>
      </w:r>
    </w:p>
    <w:p w14:paraId="067B9675" w14:textId="77777777" w:rsidR="000B61C7" w:rsidRDefault="000F2A5E">
      <w:pPr>
        <w:pStyle w:val="ListBullet"/>
        <w:spacing w:after="60"/>
      </w:pPr>
      <w:r>
        <w:t>Questions allowing multiple selections will legitimately total more than 100%.</w:t>
      </w:r>
    </w:p>
    <w:p w14:paraId="4E47BBA1" w14:textId="77777777" w:rsidR="000B61C7" w:rsidRDefault="000F2A5E">
      <w:pPr>
        <w:pStyle w:val="ListBullet"/>
        <w:spacing w:after="60"/>
      </w:pPr>
      <w:r>
        <w:t>The attached export contains minor internal inconsistencies in at least Q9 and Q25, where the listed category counts do not match the stated total respondents. This report reproduces the published percentages rather than silently correcting the source.</w:t>
      </w:r>
    </w:p>
    <w:p w14:paraId="30F5E103" w14:textId="77777777" w:rsidR="000B61C7" w:rsidRDefault="000F2A5E">
      <w:pPr>
        <w:pStyle w:val="ListBullet"/>
        <w:spacing w:after="60"/>
      </w:pPr>
      <w:r>
        <w:t>Open-text comments are not included in the attached export, so recurring themes, locations and specific service requests cannot yet be assessed.</w:t>
      </w:r>
    </w:p>
    <w:p w14:paraId="63C5FB8A" w14:textId="77777777" w:rsidR="000B61C7" w:rsidRDefault="000F2A5E">
      <w:pPr>
        <w:pStyle w:val="Heading1"/>
      </w:pPr>
      <w:r>
        <w:t>10. Matters for consideration</w:t>
      </w:r>
    </w:p>
    <w:p w14:paraId="3D4FD9F7" w14:textId="77777777" w:rsidR="000B61C7" w:rsidRDefault="000F2A5E">
      <w:r>
        <w:t>The quantitative results identify several clear areas for member consideration: community safety; the environment and open spaces; traffic and congestion; the balance of communication channels; and demand for community fairs/markets and broader family, cultural, environmental and youth activity.</w:t>
      </w:r>
    </w:p>
    <w:p w14:paraId="3B69A3BC" w14:textId="77777777" w:rsidR="000B61C7" w:rsidRDefault="000F2A5E">
      <w:r>
        <w:t>Before any decisions are based on individual locations, facilities or road/junction concerns, the free-text responses should be exported from SurveyMonkey and analysed thematically. That would allow the Council to distinguish isolated comments from repeated issues and, where appropriate, separate matters within the Town Council’s control from those requiring referral to South Gloucestershire Council or other bodies.</w:t>
      </w:r>
    </w:p>
    <w:p w14:paraId="5EBB3651" w14:textId="77777777" w:rsidR="000B61C7" w:rsidRDefault="000F2A5E">
      <w:r>
        <w:rPr>
          <w:b/>
          <w:color w:val="17365D"/>
        </w:rPr>
        <w:t>Council is asked to:</w:t>
      </w:r>
    </w:p>
    <w:p w14:paraId="4F1FA528" w14:textId="77777777" w:rsidR="000B61C7" w:rsidRDefault="000F2A5E">
      <w:pPr>
        <w:pStyle w:val="ListBullet"/>
        <w:spacing w:after="60"/>
      </w:pPr>
      <w:r>
        <w:t>note the quantitative results of the Residents Survey set out in this report;</w:t>
      </w:r>
    </w:p>
    <w:p w14:paraId="0C0FC04F" w14:textId="77777777" w:rsidR="000B61C7" w:rsidRDefault="000F2A5E">
      <w:pPr>
        <w:pStyle w:val="ListBullet"/>
        <w:spacing w:after="60"/>
      </w:pPr>
      <w:r>
        <w:t>note the limitations of the respondent profile and minor inconsistencies in the SurveyMonkey export;</w:t>
      </w:r>
    </w:p>
    <w:p w14:paraId="535142D5" w14:textId="77777777" w:rsidR="000B61C7" w:rsidRDefault="000F2A5E">
      <w:pPr>
        <w:pStyle w:val="ListBullet"/>
        <w:spacing w:after="60"/>
      </w:pPr>
      <w:r>
        <w:t>request or receive a separate thematic analysis of the free-text responses before drawing conclusions on specific locations or service proposals; and</w:t>
      </w:r>
    </w:p>
    <w:p w14:paraId="6F7DBEB1" w14:textId="77777777" w:rsidR="000B61C7" w:rsidRDefault="000F2A5E">
      <w:pPr>
        <w:pStyle w:val="ListBullet"/>
        <w:spacing w:after="60"/>
      </w:pPr>
      <w:r>
        <w:t>consider how the identified priorities should inform future service planning, communications and community activity.</w:t>
      </w:r>
    </w:p>
    <w:p w14:paraId="460979EC" w14:textId="77777777" w:rsidR="000B61C7" w:rsidRDefault="000F2A5E">
      <w:pPr>
        <w:pStyle w:val="Heading1"/>
      </w:pPr>
      <w:r>
        <w:t>Appendix A - Key quantitative results</w:t>
      </w:r>
    </w:p>
    <w:tbl>
      <w:tblPr>
        <w:tblStyle w:val="TableGrid"/>
        <w:tblW w:w="10768" w:type="dxa"/>
        <w:jc w:val="center"/>
        <w:tblLayout w:type="fixed"/>
        <w:tblLook w:val="04A0" w:firstRow="1" w:lastRow="0" w:firstColumn="1" w:lastColumn="0" w:noHBand="0" w:noVBand="1"/>
      </w:tblPr>
      <w:tblGrid>
        <w:gridCol w:w="1413"/>
        <w:gridCol w:w="2608"/>
        <w:gridCol w:w="4706"/>
        <w:gridCol w:w="2041"/>
      </w:tblGrid>
      <w:tr w:rsidR="000B61C7" w14:paraId="382C9EC9" w14:textId="77777777" w:rsidTr="005E6E66">
        <w:trPr>
          <w:tblHeader/>
          <w:jc w:val="center"/>
        </w:trPr>
        <w:tc>
          <w:tcPr>
            <w:tcW w:w="1413" w:type="dxa"/>
            <w:shd w:val="clear" w:color="auto" w:fill="17365D"/>
            <w:tcMar>
              <w:top w:w="70" w:type="dxa"/>
              <w:left w:w="80" w:type="dxa"/>
              <w:bottom w:w="70" w:type="dxa"/>
              <w:right w:w="80" w:type="dxa"/>
            </w:tcMar>
            <w:vAlign w:val="center"/>
          </w:tcPr>
          <w:p w14:paraId="749722AE" w14:textId="77777777" w:rsidR="000B61C7" w:rsidRDefault="000F2A5E">
            <w:r>
              <w:rPr>
                <w:b/>
                <w:color w:val="FFFFFF"/>
                <w:sz w:val="17"/>
              </w:rPr>
              <w:t>Q</w:t>
            </w:r>
          </w:p>
        </w:tc>
        <w:tc>
          <w:tcPr>
            <w:tcW w:w="2608" w:type="dxa"/>
            <w:shd w:val="clear" w:color="auto" w:fill="17365D"/>
            <w:tcMar>
              <w:top w:w="70" w:type="dxa"/>
              <w:left w:w="80" w:type="dxa"/>
              <w:bottom w:w="70" w:type="dxa"/>
              <w:right w:w="80" w:type="dxa"/>
            </w:tcMar>
            <w:vAlign w:val="center"/>
          </w:tcPr>
          <w:p w14:paraId="651A6625" w14:textId="77777777" w:rsidR="000B61C7" w:rsidRDefault="000F2A5E">
            <w:r>
              <w:rPr>
                <w:b/>
                <w:color w:val="FFFFFF"/>
                <w:sz w:val="17"/>
              </w:rPr>
              <w:t>Measure</w:t>
            </w:r>
          </w:p>
        </w:tc>
        <w:tc>
          <w:tcPr>
            <w:tcW w:w="4706" w:type="dxa"/>
            <w:shd w:val="clear" w:color="auto" w:fill="17365D"/>
            <w:tcMar>
              <w:top w:w="70" w:type="dxa"/>
              <w:left w:w="80" w:type="dxa"/>
              <w:bottom w:w="70" w:type="dxa"/>
              <w:right w:w="80" w:type="dxa"/>
            </w:tcMar>
            <w:vAlign w:val="center"/>
          </w:tcPr>
          <w:p w14:paraId="40CD79E0" w14:textId="77777777" w:rsidR="000B61C7" w:rsidRDefault="000F2A5E">
            <w:r>
              <w:rPr>
                <w:b/>
                <w:color w:val="FFFFFF"/>
                <w:sz w:val="17"/>
              </w:rPr>
              <w:t>Result</w:t>
            </w:r>
          </w:p>
        </w:tc>
        <w:tc>
          <w:tcPr>
            <w:tcW w:w="2041" w:type="dxa"/>
            <w:shd w:val="clear" w:color="auto" w:fill="17365D"/>
            <w:tcMar>
              <w:top w:w="70" w:type="dxa"/>
              <w:left w:w="80" w:type="dxa"/>
              <w:bottom w:w="70" w:type="dxa"/>
              <w:right w:w="80" w:type="dxa"/>
            </w:tcMar>
            <w:vAlign w:val="center"/>
          </w:tcPr>
          <w:p w14:paraId="25C95773" w14:textId="77777777" w:rsidR="000B61C7" w:rsidRDefault="000F2A5E">
            <w:r>
              <w:rPr>
                <w:b/>
                <w:color w:val="FFFFFF"/>
                <w:sz w:val="17"/>
              </w:rPr>
              <w:t>Responses</w:t>
            </w:r>
          </w:p>
        </w:tc>
      </w:tr>
      <w:tr w:rsidR="000B61C7" w14:paraId="0AC14B8C" w14:textId="77777777" w:rsidTr="005E6E66">
        <w:trPr>
          <w:jc w:val="center"/>
        </w:trPr>
        <w:tc>
          <w:tcPr>
            <w:tcW w:w="1413" w:type="dxa"/>
            <w:tcMar>
              <w:top w:w="70" w:type="dxa"/>
              <w:left w:w="80" w:type="dxa"/>
              <w:bottom w:w="70" w:type="dxa"/>
              <w:right w:w="80" w:type="dxa"/>
            </w:tcMar>
            <w:vAlign w:val="center"/>
          </w:tcPr>
          <w:p w14:paraId="22D44DDA" w14:textId="77777777" w:rsidR="000B61C7" w:rsidRDefault="000F2A5E">
            <w:r>
              <w:rPr>
                <w:sz w:val="17"/>
              </w:rPr>
              <w:t>Q2</w:t>
            </w:r>
          </w:p>
        </w:tc>
        <w:tc>
          <w:tcPr>
            <w:tcW w:w="2608" w:type="dxa"/>
            <w:tcMar>
              <w:top w:w="70" w:type="dxa"/>
              <w:left w:w="80" w:type="dxa"/>
              <w:bottom w:w="70" w:type="dxa"/>
              <w:right w:w="80" w:type="dxa"/>
            </w:tcMar>
            <w:vAlign w:val="center"/>
          </w:tcPr>
          <w:p w14:paraId="45BB6CF3" w14:textId="77777777" w:rsidR="000B61C7" w:rsidRDefault="000F2A5E">
            <w:r>
              <w:rPr>
                <w:sz w:val="17"/>
              </w:rPr>
              <w:t>Length of residence</w:t>
            </w:r>
          </w:p>
        </w:tc>
        <w:tc>
          <w:tcPr>
            <w:tcW w:w="4706" w:type="dxa"/>
            <w:tcMar>
              <w:top w:w="70" w:type="dxa"/>
              <w:left w:w="80" w:type="dxa"/>
              <w:bottom w:w="70" w:type="dxa"/>
              <w:right w:w="80" w:type="dxa"/>
            </w:tcMar>
            <w:vAlign w:val="center"/>
          </w:tcPr>
          <w:p w14:paraId="424F8E6E" w14:textId="77777777" w:rsidR="000B61C7" w:rsidRDefault="000F2A5E">
            <w:r>
              <w:rPr>
                <w:sz w:val="17"/>
              </w:rPr>
              <w:t>49.14% have lived in Bradley Stoke for more than 20 years</w:t>
            </w:r>
          </w:p>
        </w:tc>
        <w:tc>
          <w:tcPr>
            <w:tcW w:w="2041" w:type="dxa"/>
            <w:tcMar>
              <w:top w:w="70" w:type="dxa"/>
              <w:left w:w="80" w:type="dxa"/>
              <w:bottom w:w="70" w:type="dxa"/>
              <w:right w:w="80" w:type="dxa"/>
            </w:tcMar>
            <w:vAlign w:val="center"/>
          </w:tcPr>
          <w:p w14:paraId="0117D7E0" w14:textId="77777777" w:rsidR="000B61C7" w:rsidRDefault="000F2A5E">
            <w:r>
              <w:rPr>
                <w:sz w:val="17"/>
              </w:rPr>
              <w:t>289</w:t>
            </w:r>
          </w:p>
        </w:tc>
      </w:tr>
      <w:tr w:rsidR="000B61C7" w14:paraId="6AF30D44" w14:textId="77777777" w:rsidTr="005E6E66">
        <w:trPr>
          <w:jc w:val="center"/>
        </w:trPr>
        <w:tc>
          <w:tcPr>
            <w:tcW w:w="1413" w:type="dxa"/>
            <w:tcMar>
              <w:top w:w="70" w:type="dxa"/>
              <w:left w:w="80" w:type="dxa"/>
              <w:bottom w:w="70" w:type="dxa"/>
              <w:right w:w="80" w:type="dxa"/>
            </w:tcMar>
            <w:vAlign w:val="center"/>
          </w:tcPr>
          <w:p w14:paraId="347C02EB" w14:textId="77777777" w:rsidR="000B61C7" w:rsidRDefault="000F2A5E">
            <w:r>
              <w:rPr>
                <w:sz w:val="17"/>
              </w:rPr>
              <w:t>Q3</w:t>
            </w:r>
          </w:p>
        </w:tc>
        <w:tc>
          <w:tcPr>
            <w:tcW w:w="2608" w:type="dxa"/>
            <w:tcMar>
              <w:top w:w="70" w:type="dxa"/>
              <w:left w:w="80" w:type="dxa"/>
              <w:bottom w:w="70" w:type="dxa"/>
              <w:right w:w="80" w:type="dxa"/>
            </w:tcMar>
            <w:vAlign w:val="center"/>
          </w:tcPr>
          <w:p w14:paraId="1488B42C" w14:textId="77777777" w:rsidR="000B61C7" w:rsidRDefault="000F2A5E">
            <w:r>
              <w:rPr>
                <w:sz w:val="17"/>
              </w:rPr>
              <w:t>Satisfaction with Bradley Stoke</w:t>
            </w:r>
          </w:p>
        </w:tc>
        <w:tc>
          <w:tcPr>
            <w:tcW w:w="4706" w:type="dxa"/>
            <w:tcMar>
              <w:top w:w="70" w:type="dxa"/>
              <w:left w:w="80" w:type="dxa"/>
              <w:bottom w:w="70" w:type="dxa"/>
              <w:right w:w="80" w:type="dxa"/>
            </w:tcMar>
            <w:vAlign w:val="center"/>
          </w:tcPr>
          <w:p w14:paraId="5B74C00E" w14:textId="77777777" w:rsidR="000B61C7" w:rsidRDefault="000F2A5E">
            <w:r>
              <w:rPr>
                <w:sz w:val="17"/>
              </w:rPr>
              <w:t>Average 7/10</w:t>
            </w:r>
          </w:p>
        </w:tc>
        <w:tc>
          <w:tcPr>
            <w:tcW w:w="2041" w:type="dxa"/>
            <w:tcMar>
              <w:top w:w="70" w:type="dxa"/>
              <w:left w:w="80" w:type="dxa"/>
              <w:bottom w:w="70" w:type="dxa"/>
              <w:right w:w="80" w:type="dxa"/>
            </w:tcMar>
            <w:vAlign w:val="center"/>
          </w:tcPr>
          <w:p w14:paraId="28F8C6E5" w14:textId="77777777" w:rsidR="000B61C7" w:rsidRDefault="000F2A5E">
            <w:r>
              <w:rPr>
                <w:sz w:val="17"/>
              </w:rPr>
              <w:t>265</w:t>
            </w:r>
          </w:p>
        </w:tc>
      </w:tr>
      <w:tr w:rsidR="000B61C7" w14:paraId="0ED1494E" w14:textId="77777777" w:rsidTr="005E6E66">
        <w:trPr>
          <w:jc w:val="center"/>
        </w:trPr>
        <w:tc>
          <w:tcPr>
            <w:tcW w:w="1413" w:type="dxa"/>
            <w:tcMar>
              <w:top w:w="70" w:type="dxa"/>
              <w:left w:w="80" w:type="dxa"/>
              <w:bottom w:w="70" w:type="dxa"/>
              <w:right w:w="80" w:type="dxa"/>
            </w:tcMar>
            <w:vAlign w:val="center"/>
          </w:tcPr>
          <w:p w14:paraId="0950CDE3" w14:textId="77777777" w:rsidR="000B61C7" w:rsidRDefault="000F2A5E">
            <w:r>
              <w:rPr>
                <w:sz w:val="17"/>
              </w:rPr>
              <w:t>Q4</w:t>
            </w:r>
          </w:p>
        </w:tc>
        <w:tc>
          <w:tcPr>
            <w:tcW w:w="2608" w:type="dxa"/>
            <w:tcMar>
              <w:top w:w="70" w:type="dxa"/>
              <w:left w:w="80" w:type="dxa"/>
              <w:bottom w:w="70" w:type="dxa"/>
              <w:right w:w="80" w:type="dxa"/>
            </w:tcMar>
            <w:vAlign w:val="center"/>
          </w:tcPr>
          <w:p w14:paraId="7BF72B64" w14:textId="77777777" w:rsidR="000B61C7" w:rsidRDefault="000F2A5E">
            <w:r>
              <w:rPr>
                <w:sz w:val="17"/>
              </w:rPr>
              <w:t>Safety - daylight</w:t>
            </w:r>
          </w:p>
        </w:tc>
        <w:tc>
          <w:tcPr>
            <w:tcW w:w="4706" w:type="dxa"/>
            <w:tcMar>
              <w:top w:w="70" w:type="dxa"/>
              <w:left w:w="80" w:type="dxa"/>
              <w:bottom w:w="70" w:type="dxa"/>
              <w:right w:w="80" w:type="dxa"/>
            </w:tcMar>
            <w:vAlign w:val="center"/>
          </w:tcPr>
          <w:p w14:paraId="5448A8CB" w14:textId="77777777" w:rsidR="000B61C7" w:rsidRDefault="000F2A5E">
            <w:r>
              <w:rPr>
                <w:sz w:val="17"/>
              </w:rPr>
              <w:t>86.09% very safe or safe</w:t>
            </w:r>
          </w:p>
        </w:tc>
        <w:tc>
          <w:tcPr>
            <w:tcW w:w="2041" w:type="dxa"/>
            <w:tcMar>
              <w:top w:w="70" w:type="dxa"/>
              <w:left w:w="80" w:type="dxa"/>
              <w:bottom w:w="70" w:type="dxa"/>
              <w:right w:w="80" w:type="dxa"/>
            </w:tcMar>
            <w:vAlign w:val="center"/>
          </w:tcPr>
          <w:p w14:paraId="02804B31" w14:textId="77777777" w:rsidR="000B61C7" w:rsidRDefault="000F2A5E">
            <w:r>
              <w:rPr>
                <w:sz w:val="17"/>
              </w:rPr>
              <w:t>266</w:t>
            </w:r>
          </w:p>
        </w:tc>
      </w:tr>
      <w:tr w:rsidR="000B61C7" w14:paraId="123EA534" w14:textId="77777777" w:rsidTr="005E6E66">
        <w:trPr>
          <w:jc w:val="center"/>
        </w:trPr>
        <w:tc>
          <w:tcPr>
            <w:tcW w:w="1413" w:type="dxa"/>
            <w:tcMar>
              <w:top w:w="70" w:type="dxa"/>
              <w:left w:w="80" w:type="dxa"/>
              <w:bottom w:w="70" w:type="dxa"/>
              <w:right w:w="80" w:type="dxa"/>
            </w:tcMar>
            <w:vAlign w:val="center"/>
          </w:tcPr>
          <w:p w14:paraId="0DF5F927" w14:textId="77777777" w:rsidR="000B61C7" w:rsidRDefault="000F2A5E">
            <w:r>
              <w:rPr>
                <w:sz w:val="17"/>
              </w:rPr>
              <w:t>Q4</w:t>
            </w:r>
          </w:p>
        </w:tc>
        <w:tc>
          <w:tcPr>
            <w:tcW w:w="2608" w:type="dxa"/>
            <w:tcMar>
              <w:top w:w="70" w:type="dxa"/>
              <w:left w:w="80" w:type="dxa"/>
              <w:bottom w:w="70" w:type="dxa"/>
              <w:right w:w="80" w:type="dxa"/>
            </w:tcMar>
            <w:vAlign w:val="center"/>
          </w:tcPr>
          <w:p w14:paraId="3064000C" w14:textId="77777777" w:rsidR="000B61C7" w:rsidRDefault="000F2A5E">
            <w:r>
              <w:rPr>
                <w:sz w:val="17"/>
              </w:rPr>
              <w:t>Safety - night</w:t>
            </w:r>
          </w:p>
        </w:tc>
        <w:tc>
          <w:tcPr>
            <w:tcW w:w="4706" w:type="dxa"/>
            <w:tcMar>
              <w:top w:w="70" w:type="dxa"/>
              <w:left w:w="80" w:type="dxa"/>
              <w:bottom w:w="70" w:type="dxa"/>
              <w:right w:w="80" w:type="dxa"/>
            </w:tcMar>
            <w:vAlign w:val="center"/>
          </w:tcPr>
          <w:p w14:paraId="07628CA7" w14:textId="77777777" w:rsidR="000B61C7" w:rsidRDefault="000F2A5E">
            <w:r>
              <w:rPr>
                <w:sz w:val="17"/>
              </w:rPr>
              <w:t>43.53% very safe or safe; 27.85% unsafe or very unsafe</w:t>
            </w:r>
          </w:p>
        </w:tc>
        <w:tc>
          <w:tcPr>
            <w:tcW w:w="2041" w:type="dxa"/>
            <w:tcMar>
              <w:top w:w="70" w:type="dxa"/>
              <w:left w:w="80" w:type="dxa"/>
              <w:bottom w:w="70" w:type="dxa"/>
              <w:right w:w="80" w:type="dxa"/>
            </w:tcMar>
            <w:vAlign w:val="center"/>
          </w:tcPr>
          <w:p w14:paraId="6ABA904C" w14:textId="77777777" w:rsidR="000B61C7" w:rsidRDefault="000F2A5E">
            <w:r>
              <w:rPr>
                <w:sz w:val="17"/>
              </w:rPr>
              <w:t>255</w:t>
            </w:r>
          </w:p>
        </w:tc>
      </w:tr>
      <w:tr w:rsidR="000B61C7" w14:paraId="2EF035D0" w14:textId="77777777" w:rsidTr="005E6E66">
        <w:trPr>
          <w:jc w:val="center"/>
        </w:trPr>
        <w:tc>
          <w:tcPr>
            <w:tcW w:w="1413" w:type="dxa"/>
            <w:tcMar>
              <w:top w:w="70" w:type="dxa"/>
              <w:left w:w="80" w:type="dxa"/>
              <w:bottom w:w="70" w:type="dxa"/>
              <w:right w:w="80" w:type="dxa"/>
            </w:tcMar>
            <w:vAlign w:val="center"/>
          </w:tcPr>
          <w:p w14:paraId="08547D75" w14:textId="77777777" w:rsidR="000B61C7" w:rsidRDefault="000F2A5E">
            <w:r>
              <w:rPr>
                <w:sz w:val="17"/>
              </w:rPr>
              <w:t>Q7</w:t>
            </w:r>
          </w:p>
        </w:tc>
        <w:tc>
          <w:tcPr>
            <w:tcW w:w="2608" w:type="dxa"/>
            <w:tcMar>
              <w:top w:w="70" w:type="dxa"/>
              <w:left w:w="80" w:type="dxa"/>
              <w:bottom w:w="70" w:type="dxa"/>
              <w:right w:w="80" w:type="dxa"/>
            </w:tcMar>
            <w:vAlign w:val="center"/>
          </w:tcPr>
          <w:p w14:paraId="2C5DA282" w14:textId="77777777" w:rsidR="000B61C7" w:rsidRDefault="000F2A5E">
            <w:r>
              <w:rPr>
                <w:sz w:val="17"/>
              </w:rPr>
              <w:t>Satisfaction with Town Council services</w:t>
            </w:r>
          </w:p>
        </w:tc>
        <w:tc>
          <w:tcPr>
            <w:tcW w:w="4706" w:type="dxa"/>
            <w:tcMar>
              <w:top w:w="70" w:type="dxa"/>
              <w:left w:w="80" w:type="dxa"/>
              <w:bottom w:w="70" w:type="dxa"/>
              <w:right w:w="80" w:type="dxa"/>
            </w:tcMar>
            <w:vAlign w:val="center"/>
          </w:tcPr>
          <w:p w14:paraId="1F302720" w14:textId="77777777" w:rsidR="000B61C7" w:rsidRDefault="000F2A5E">
            <w:r>
              <w:rPr>
                <w:sz w:val="17"/>
              </w:rPr>
              <w:t>Average 6/10</w:t>
            </w:r>
          </w:p>
        </w:tc>
        <w:tc>
          <w:tcPr>
            <w:tcW w:w="2041" w:type="dxa"/>
            <w:tcMar>
              <w:top w:w="70" w:type="dxa"/>
              <w:left w:w="80" w:type="dxa"/>
              <w:bottom w:w="70" w:type="dxa"/>
              <w:right w:w="80" w:type="dxa"/>
            </w:tcMar>
            <w:vAlign w:val="center"/>
          </w:tcPr>
          <w:p w14:paraId="1559BE8F" w14:textId="77777777" w:rsidR="000B61C7" w:rsidRDefault="000F2A5E">
            <w:r>
              <w:rPr>
                <w:sz w:val="17"/>
              </w:rPr>
              <w:t>198</w:t>
            </w:r>
          </w:p>
        </w:tc>
      </w:tr>
      <w:tr w:rsidR="000B61C7" w14:paraId="746CAF06" w14:textId="77777777" w:rsidTr="005E6E66">
        <w:trPr>
          <w:jc w:val="center"/>
        </w:trPr>
        <w:tc>
          <w:tcPr>
            <w:tcW w:w="1413" w:type="dxa"/>
            <w:tcMar>
              <w:top w:w="70" w:type="dxa"/>
              <w:left w:w="80" w:type="dxa"/>
              <w:bottom w:w="70" w:type="dxa"/>
              <w:right w:w="80" w:type="dxa"/>
            </w:tcMar>
            <w:vAlign w:val="center"/>
          </w:tcPr>
          <w:p w14:paraId="504D3970" w14:textId="77777777" w:rsidR="000B61C7" w:rsidRDefault="000F2A5E">
            <w:r>
              <w:rPr>
                <w:sz w:val="17"/>
              </w:rPr>
              <w:t>Q9</w:t>
            </w:r>
          </w:p>
        </w:tc>
        <w:tc>
          <w:tcPr>
            <w:tcW w:w="2608" w:type="dxa"/>
            <w:tcMar>
              <w:top w:w="70" w:type="dxa"/>
              <w:left w:w="80" w:type="dxa"/>
              <w:bottom w:w="70" w:type="dxa"/>
              <w:right w:w="80" w:type="dxa"/>
            </w:tcMar>
            <w:vAlign w:val="center"/>
          </w:tcPr>
          <w:p w14:paraId="3DA16577" w14:textId="77777777" w:rsidR="000B61C7" w:rsidRDefault="000F2A5E">
            <w:r>
              <w:rPr>
                <w:sz w:val="17"/>
              </w:rPr>
              <w:t>Sense of community</w:t>
            </w:r>
          </w:p>
        </w:tc>
        <w:tc>
          <w:tcPr>
            <w:tcW w:w="4706" w:type="dxa"/>
            <w:tcMar>
              <w:top w:w="70" w:type="dxa"/>
              <w:left w:w="80" w:type="dxa"/>
              <w:bottom w:w="70" w:type="dxa"/>
              <w:right w:w="80" w:type="dxa"/>
            </w:tcMar>
            <w:vAlign w:val="center"/>
          </w:tcPr>
          <w:p w14:paraId="73BE4FA8" w14:textId="77777777" w:rsidR="000B61C7" w:rsidRDefault="000F2A5E">
            <w:r>
              <w:rPr>
                <w:sz w:val="17"/>
              </w:rPr>
              <w:t>50.00% positive on published percentages</w:t>
            </w:r>
          </w:p>
        </w:tc>
        <w:tc>
          <w:tcPr>
            <w:tcW w:w="2041" w:type="dxa"/>
            <w:tcMar>
              <w:top w:w="70" w:type="dxa"/>
              <w:left w:w="80" w:type="dxa"/>
              <w:bottom w:w="70" w:type="dxa"/>
              <w:right w:w="80" w:type="dxa"/>
            </w:tcMar>
            <w:vAlign w:val="center"/>
          </w:tcPr>
          <w:p w14:paraId="6702E088" w14:textId="77777777" w:rsidR="000B61C7" w:rsidRDefault="000F2A5E">
            <w:r>
              <w:rPr>
                <w:sz w:val="17"/>
              </w:rPr>
              <w:t>242 stated</w:t>
            </w:r>
          </w:p>
        </w:tc>
      </w:tr>
      <w:tr w:rsidR="000B61C7" w14:paraId="1BC9920A" w14:textId="77777777" w:rsidTr="005E6E66">
        <w:trPr>
          <w:jc w:val="center"/>
        </w:trPr>
        <w:tc>
          <w:tcPr>
            <w:tcW w:w="1413" w:type="dxa"/>
            <w:tcMar>
              <w:top w:w="70" w:type="dxa"/>
              <w:left w:w="80" w:type="dxa"/>
              <w:bottom w:w="70" w:type="dxa"/>
              <w:right w:w="80" w:type="dxa"/>
            </w:tcMar>
            <w:vAlign w:val="center"/>
          </w:tcPr>
          <w:p w14:paraId="08836F6C" w14:textId="77777777" w:rsidR="000B61C7" w:rsidRDefault="000F2A5E">
            <w:r>
              <w:rPr>
                <w:sz w:val="17"/>
              </w:rPr>
              <w:t>Q10</w:t>
            </w:r>
          </w:p>
        </w:tc>
        <w:tc>
          <w:tcPr>
            <w:tcW w:w="2608" w:type="dxa"/>
            <w:tcMar>
              <w:top w:w="70" w:type="dxa"/>
              <w:left w:w="80" w:type="dxa"/>
              <w:bottom w:w="70" w:type="dxa"/>
              <w:right w:w="80" w:type="dxa"/>
            </w:tcMar>
            <w:vAlign w:val="center"/>
          </w:tcPr>
          <w:p w14:paraId="355627A0" w14:textId="77777777" w:rsidR="000B61C7" w:rsidRDefault="000F2A5E">
            <w:r>
              <w:rPr>
                <w:sz w:val="17"/>
              </w:rPr>
              <w:t>Most-attended listed event</w:t>
            </w:r>
          </w:p>
        </w:tc>
        <w:tc>
          <w:tcPr>
            <w:tcW w:w="4706" w:type="dxa"/>
            <w:tcMar>
              <w:top w:w="70" w:type="dxa"/>
              <w:left w:w="80" w:type="dxa"/>
              <w:bottom w:w="70" w:type="dxa"/>
              <w:right w:w="80" w:type="dxa"/>
            </w:tcMar>
            <w:vAlign w:val="center"/>
          </w:tcPr>
          <w:p w14:paraId="453AF11A" w14:textId="77777777" w:rsidR="000B61C7" w:rsidRDefault="000F2A5E">
            <w:r>
              <w:rPr>
                <w:sz w:val="17"/>
              </w:rPr>
              <w:t>Fireworks - 55.23%</w:t>
            </w:r>
          </w:p>
        </w:tc>
        <w:tc>
          <w:tcPr>
            <w:tcW w:w="2041" w:type="dxa"/>
            <w:tcMar>
              <w:top w:w="70" w:type="dxa"/>
              <w:left w:w="80" w:type="dxa"/>
              <w:bottom w:w="70" w:type="dxa"/>
              <w:right w:w="80" w:type="dxa"/>
            </w:tcMar>
            <w:vAlign w:val="center"/>
          </w:tcPr>
          <w:p w14:paraId="01405355" w14:textId="77777777" w:rsidR="000B61C7" w:rsidRDefault="000F2A5E">
            <w:r>
              <w:rPr>
                <w:sz w:val="17"/>
              </w:rPr>
              <w:t>239</w:t>
            </w:r>
          </w:p>
        </w:tc>
      </w:tr>
      <w:tr w:rsidR="000B61C7" w14:paraId="42E3710E" w14:textId="77777777" w:rsidTr="005E6E66">
        <w:trPr>
          <w:jc w:val="center"/>
        </w:trPr>
        <w:tc>
          <w:tcPr>
            <w:tcW w:w="1413" w:type="dxa"/>
            <w:tcMar>
              <w:top w:w="70" w:type="dxa"/>
              <w:left w:w="80" w:type="dxa"/>
              <w:bottom w:w="70" w:type="dxa"/>
              <w:right w:w="80" w:type="dxa"/>
            </w:tcMar>
            <w:vAlign w:val="center"/>
          </w:tcPr>
          <w:p w14:paraId="1EF438EB" w14:textId="77777777" w:rsidR="000B61C7" w:rsidRDefault="000F2A5E">
            <w:r>
              <w:rPr>
                <w:sz w:val="17"/>
              </w:rPr>
              <w:t>Q11</w:t>
            </w:r>
          </w:p>
        </w:tc>
        <w:tc>
          <w:tcPr>
            <w:tcW w:w="2608" w:type="dxa"/>
            <w:tcMar>
              <w:top w:w="70" w:type="dxa"/>
              <w:left w:w="80" w:type="dxa"/>
              <w:bottom w:w="70" w:type="dxa"/>
              <w:right w:w="80" w:type="dxa"/>
            </w:tcMar>
            <w:vAlign w:val="center"/>
          </w:tcPr>
          <w:p w14:paraId="1A383F97" w14:textId="77777777" w:rsidR="000B61C7" w:rsidRDefault="000F2A5E">
            <w:r>
              <w:rPr>
                <w:sz w:val="17"/>
              </w:rPr>
              <w:t>Most requested future activity</w:t>
            </w:r>
          </w:p>
        </w:tc>
        <w:tc>
          <w:tcPr>
            <w:tcW w:w="4706" w:type="dxa"/>
            <w:tcMar>
              <w:top w:w="70" w:type="dxa"/>
              <w:left w:w="80" w:type="dxa"/>
              <w:bottom w:w="70" w:type="dxa"/>
              <w:right w:w="80" w:type="dxa"/>
            </w:tcMar>
            <w:vAlign w:val="center"/>
          </w:tcPr>
          <w:p w14:paraId="7AEC4620" w14:textId="77777777" w:rsidR="000B61C7" w:rsidRDefault="000F2A5E">
            <w:r>
              <w:rPr>
                <w:sz w:val="17"/>
              </w:rPr>
              <w:t>Community fairs/markets - 60.59%</w:t>
            </w:r>
          </w:p>
        </w:tc>
        <w:tc>
          <w:tcPr>
            <w:tcW w:w="2041" w:type="dxa"/>
            <w:tcMar>
              <w:top w:w="70" w:type="dxa"/>
              <w:left w:w="80" w:type="dxa"/>
              <w:bottom w:w="70" w:type="dxa"/>
              <w:right w:w="80" w:type="dxa"/>
            </w:tcMar>
            <w:vAlign w:val="center"/>
          </w:tcPr>
          <w:p w14:paraId="554B4002" w14:textId="77777777" w:rsidR="000B61C7" w:rsidRDefault="000F2A5E">
            <w:r>
              <w:rPr>
                <w:sz w:val="17"/>
              </w:rPr>
              <w:t>236</w:t>
            </w:r>
          </w:p>
        </w:tc>
      </w:tr>
      <w:tr w:rsidR="000B61C7" w14:paraId="68AEFC38" w14:textId="77777777" w:rsidTr="005E6E66">
        <w:trPr>
          <w:jc w:val="center"/>
        </w:trPr>
        <w:tc>
          <w:tcPr>
            <w:tcW w:w="1413" w:type="dxa"/>
            <w:tcMar>
              <w:top w:w="70" w:type="dxa"/>
              <w:left w:w="80" w:type="dxa"/>
              <w:bottom w:w="70" w:type="dxa"/>
              <w:right w:w="80" w:type="dxa"/>
            </w:tcMar>
            <w:vAlign w:val="center"/>
          </w:tcPr>
          <w:p w14:paraId="2A75083E" w14:textId="77777777" w:rsidR="000B61C7" w:rsidRDefault="000F2A5E">
            <w:r>
              <w:rPr>
                <w:sz w:val="17"/>
              </w:rPr>
              <w:t>Q13</w:t>
            </w:r>
          </w:p>
        </w:tc>
        <w:tc>
          <w:tcPr>
            <w:tcW w:w="2608" w:type="dxa"/>
            <w:tcMar>
              <w:top w:w="70" w:type="dxa"/>
              <w:left w:w="80" w:type="dxa"/>
              <w:bottom w:w="70" w:type="dxa"/>
              <w:right w:w="80" w:type="dxa"/>
            </w:tcMar>
            <w:vAlign w:val="center"/>
          </w:tcPr>
          <w:p w14:paraId="66CA0A6A" w14:textId="77777777" w:rsidR="000B61C7" w:rsidRDefault="000F2A5E">
            <w:r>
              <w:rPr>
                <w:sz w:val="17"/>
              </w:rPr>
              <w:t>How well informed</w:t>
            </w:r>
          </w:p>
        </w:tc>
        <w:tc>
          <w:tcPr>
            <w:tcW w:w="4706" w:type="dxa"/>
            <w:tcMar>
              <w:top w:w="70" w:type="dxa"/>
              <w:left w:w="80" w:type="dxa"/>
              <w:bottom w:w="70" w:type="dxa"/>
              <w:right w:w="80" w:type="dxa"/>
            </w:tcMar>
            <w:vAlign w:val="center"/>
          </w:tcPr>
          <w:p w14:paraId="6FFE60D1" w14:textId="77777777" w:rsidR="000B61C7" w:rsidRDefault="000F2A5E">
            <w:r>
              <w:rPr>
                <w:sz w:val="17"/>
              </w:rPr>
              <w:t>Average 5/10</w:t>
            </w:r>
          </w:p>
        </w:tc>
        <w:tc>
          <w:tcPr>
            <w:tcW w:w="2041" w:type="dxa"/>
            <w:tcMar>
              <w:top w:w="70" w:type="dxa"/>
              <w:left w:w="80" w:type="dxa"/>
              <w:bottom w:w="70" w:type="dxa"/>
              <w:right w:w="80" w:type="dxa"/>
            </w:tcMar>
            <w:vAlign w:val="center"/>
          </w:tcPr>
          <w:p w14:paraId="0CD529BD" w14:textId="77777777" w:rsidR="000B61C7" w:rsidRDefault="000F2A5E">
            <w:r>
              <w:rPr>
                <w:sz w:val="17"/>
              </w:rPr>
              <w:t>230</w:t>
            </w:r>
          </w:p>
        </w:tc>
      </w:tr>
      <w:tr w:rsidR="000B61C7" w14:paraId="6BD6EF26" w14:textId="77777777" w:rsidTr="005E6E66">
        <w:trPr>
          <w:jc w:val="center"/>
        </w:trPr>
        <w:tc>
          <w:tcPr>
            <w:tcW w:w="1413" w:type="dxa"/>
            <w:tcMar>
              <w:top w:w="70" w:type="dxa"/>
              <w:left w:w="80" w:type="dxa"/>
              <w:bottom w:w="70" w:type="dxa"/>
              <w:right w:w="80" w:type="dxa"/>
            </w:tcMar>
            <w:vAlign w:val="center"/>
          </w:tcPr>
          <w:p w14:paraId="1C0ED1E7" w14:textId="77777777" w:rsidR="000B61C7" w:rsidRDefault="000F2A5E">
            <w:r>
              <w:rPr>
                <w:sz w:val="17"/>
              </w:rPr>
              <w:t>Q14</w:t>
            </w:r>
          </w:p>
        </w:tc>
        <w:tc>
          <w:tcPr>
            <w:tcW w:w="2608" w:type="dxa"/>
            <w:tcMar>
              <w:top w:w="70" w:type="dxa"/>
              <w:left w:w="80" w:type="dxa"/>
              <w:bottom w:w="70" w:type="dxa"/>
              <w:right w:w="80" w:type="dxa"/>
            </w:tcMar>
            <w:vAlign w:val="center"/>
          </w:tcPr>
          <w:p w14:paraId="7F97516C" w14:textId="77777777" w:rsidR="000B61C7" w:rsidRDefault="000F2A5E">
            <w:r>
              <w:rPr>
                <w:sz w:val="17"/>
              </w:rPr>
              <w:t>Main current information channel</w:t>
            </w:r>
          </w:p>
        </w:tc>
        <w:tc>
          <w:tcPr>
            <w:tcW w:w="4706" w:type="dxa"/>
            <w:tcMar>
              <w:top w:w="70" w:type="dxa"/>
              <w:left w:w="80" w:type="dxa"/>
              <w:bottom w:w="70" w:type="dxa"/>
              <w:right w:w="80" w:type="dxa"/>
            </w:tcMar>
            <w:vAlign w:val="center"/>
          </w:tcPr>
          <w:p w14:paraId="6B1B9983" w14:textId="77777777" w:rsidR="000B61C7" w:rsidRDefault="000F2A5E">
            <w:r>
              <w:rPr>
                <w:sz w:val="17"/>
              </w:rPr>
              <w:t>Social media - 74.04%</w:t>
            </w:r>
          </w:p>
        </w:tc>
        <w:tc>
          <w:tcPr>
            <w:tcW w:w="2041" w:type="dxa"/>
            <w:tcMar>
              <w:top w:w="70" w:type="dxa"/>
              <w:left w:w="80" w:type="dxa"/>
              <w:bottom w:w="70" w:type="dxa"/>
              <w:right w:w="80" w:type="dxa"/>
            </w:tcMar>
            <w:vAlign w:val="center"/>
          </w:tcPr>
          <w:p w14:paraId="1CDD2B68" w14:textId="77777777" w:rsidR="000B61C7" w:rsidRDefault="000F2A5E">
            <w:r>
              <w:rPr>
                <w:sz w:val="17"/>
              </w:rPr>
              <w:t>235</w:t>
            </w:r>
          </w:p>
        </w:tc>
      </w:tr>
      <w:tr w:rsidR="000B61C7" w14:paraId="30161DE8" w14:textId="77777777" w:rsidTr="005E6E66">
        <w:trPr>
          <w:jc w:val="center"/>
        </w:trPr>
        <w:tc>
          <w:tcPr>
            <w:tcW w:w="1413" w:type="dxa"/>
            <w:tcMar>
              <w:top w:w="70" w:type="dxa"/>
              <w:left w:w="80" w:type="dxa"/>
              <w:bottom w:w="70" w:type="dxa"/>
              <w:right w:w="80" w:type="dxa"/>
            </w:tcMar>
            <w:vAlign w:val="center"/>
          </w:tcPr>
          <w:p w14:paraId="2FA171C0" w14:textId="77777777" w:rsidR="000B61C7" w:rsidRDefault="000F2A5E">
            <w:r>
              <w:rPr>
                <w:sz w:val="17"/>
              </w:rPr>
              <w:t>Q16</w:t>
            </w:r>
          </w:p>
        </w:tc>
        <w:tc>
          <w:tcPr>
            <w:tcW w:w="2608" w:type="dxa"/>
            <w:tcMar>
              <w:top w:w="70" w:type="dxa"/>
              <w:left w:w="80" w:type="dxa"/>
              <w:bottom w:w="70" w:type="dxa"/>
              <w:right w:w="80" w:type="dxa"/>
            </w:tcMar>
            <w:vAlign w:val="center"/>
          </w:tcPr>
          <w:p w14:paraId="5F95B0C9" w14:textId="77777777" w:rsidR="000B61C7" w:rsidRDefault="000F2A5E">
            <w:r>
              <w:rPr>
                <w:sz w:val="17"/>
              </w:rPr>
              <w:t>Main preferred information channel</w:t>
            </w:r>
          </w:p>
        </w:tc>
        <w:tc>
          <w:tcPr>
            <w:tcW w:w="4706" w:type="dxa"/>
            <w:tcMar>
              <w:top w:w="70" w:type="dxa"/>
              <w:left w:w="80" w:type="dxa"/>
              <w:bottom w:w="70" w:type="dxa"/>
              <w:right w:w="80" w:type="dxa"/>
            </w:tcMar>
            <w:vAlign w:val="center"/>
          </w:tcPr>
          <w:p w14:paraId="0CABE74A" w14:textId="77777777" w:rsidR="000B61C7" w:rsidRDefault="000F2A5E">
            <w:r>
              <w:rPr>
                <w:sz w:val="17"/>
              </w:rPr>
              <w:t>Social media - 72.81%; newsletter - 63.16%</w:t>
            </w:r>
          </w:p>
        </w:tc>
        <w:tc>
          <w:tcPr>
            <w:tcW w:w="2041" w:type="dxa"/>
            <w:tcMar>
              <w:top w:w="70" w:type="dxa"/>
              <w:left w:w="80" w:type="dxa"/>
              <w:bottom w:w="70" w:type="dxa"/>
              <w:right w:w="80" w:type="dxa"/>
            </w:tcMar>
            <w:vAlign w:val="center"/>
          </w:tcPr>
          <w:p w14:paraId="39D4B44F" w14:textId="77777777" w:rsidR="000B61C7" w:rsidRDefault="000F2A5E">
            <w:r>
              <w:rPr>
                <w:sz w:val="17"/>
              </w:rPr>
              <w:t>228</w:t>
            </w:r>
          </w:p>
        </w:tc>
      </w:tr>
      <w:tr w:rsidR="000B61C7" w14:paraId="729CFC11" w14:textId="77777777" w:rsidTr="005E6E66">
        <w:trPr>
          <w:jc w:val="center"/>
        </w:trPr>
        <w:tc>
          <w:tcPr>
            <w:tcW w:w="1413" w:type="dxa"/>
            <w:tcMar>
              <w:top w:w="70" w:type="dxa"/>
              <w:left w:w="80" w:type="dxa"/>
              <w:bottom w:w="70" w:type="dxa"/>
              <w:right w:w="80" w:type="dxa"/>
            </w:tcMar>
            <w:vAlign w:val="center"/>
          </w:tcPr>
          <w:p w14:paraId="5B8613A3" w14:textId="77777777" w:rsidR="000B61C7" w:rsidRDefault="000F2A5E">
            <w:r>
              <w:rPr>
                <w:sz w:val="17"/>
              </w:rPr>
              <w:t>Q18</w:t>
            </w:r>
          </w:p>
        </w:tc>
        <w:tc>
          <w:tcPr>
            <w:tcW w:w="2608" w:type="dxa"/>
            <w:tcMar>
              <w:top w:w="70" w:type="dxa"/>
              <w:left w:w="80" w:type="dxa"/>
              <w:bottom w:w="70" w:type="dxa"/>
              <w:right w:w="80" w:type="dxa"/>
            </w:tcMar>
            <w:vAlign w:val="center"/>
          </w:tcPr>
          <w:p w14:paraId="41AC438F" w14:textId="77777777" w:rsidR="000B61C7" w:rsidRDefault="000F2A5E">
            <w:r>
              <w:rPr>
                <w:sz w:val="17"/>
              </w:rPr>
              <w:t>Main travel modes</w:t>
            </w:r>
          </w:p>
        </w:tc>
        <w:tc>
          <w:tcPr>
            <w:tcW w:w="4706" w:type="dxa"/>
            <w:tcMar>
              <w:top w:w="70" w:type="dxa"/>
              <w:left w:w="80" w:type="dxa"/>
              <w:bottom w:w="70" w:type="dxa"/>
              <w:right w:w="80" w:type="dxa"/>
            </w:tcMar>
            <w:vAlign w:val="center"/>
          </w:tcPr>
          <w:p w14:paraId="08A89BA5" w14:textId="77777777" w:rsidR="000B61C7" w:rsidRDefault="000F2A5E">
            <w:r>
              <w:rPr>
                <w:sz w:val="17"/>
              </w:rPr>
              <w:t>Car/Van - 89.41%; Walk - 84.75%</w:t>
            </w:r>
          </w:p>
        </w:tc>
        <w:tc>
          <w:tcPr>
            <w:tcW w:w="2041" w:type="dxa"/>
            <w:tcMar>
              <w:top w:w="70" w:type="dxa"/>
              <w:left w:w="80" w:type="dxa"/>
              <w:bottom w:w="70" w:type="dxa"/>
              <w:right w:w="80" w:type="dxa"/>
            </w:tcMar>
            <w:vAlign w:val="center"/>
          </w:tcPr>
          <w:p w14:paraId="4767C27C" w14:textId="77777777" w:rsidR="000B61C7" w:rsidRDefault="000F2A5E">
            <w:r>
              <w:rPr>
                <w:sz w:val="17"/>
              </w:rPr>
              <w:t>236</w:t>
            </w:r>
          </w:p>
        </w:tc>
      </w:tr>
      <w:tr w:rsidR="000B61C7" w14:paraId="0DCBCB9D" w14:textId="77777777" w:rsidTr="005E6E66">
        <w:trPr>
          <w:jc w:val="center"/>
        </w:trPr>
        <w:tc>
          <w:tcPr>
            <w:tcW w:w="1413" w:type="dxa"/>
            <w:tcMar>
              <w:top w:w="70" w:type="dxa"/>
              <w:left w:w="80" w:type="dxa"/>
              <w:bottom w:w="70" w:type="dxa"/>
              <w:right w:w="80" w:type="dxa"/>
            </w:tcMar>
            <w:vAlign w:val="center"/>
          </w:tcPr>
          <w:p w14:paraId="0B7EFD08" w14:textId="77777777" w:rsidR="000B61C7" w:rsidRDefault="000F2A5E">
            <w:r>
              <w:rPr>
                <w:sz w:val="17"/>
              </w:rPr>
              <w:t>Q20</w:t>
            </w:r>
          </w:p>
        </w:tc>
        <w:tc>
          <w:tcPr>
            <w:tcW w:w="2608" w:type="dxa"/>
            <w:tcMar>
              <w:top w:w="70" w:type="dxa"/>
              <w:left w:w="80" w:type="dxa"/>
              <w:bottom w:w="70" w:type="dxa"/>
              <w:right w:w="80" w:type="dxa"/>
            </w:tcMar>
            <w:vAlign w:val="center"/>
          </w:tcPr>
          <w:p w14:paraId="21BDE244" w14:textId="77777777" w:rsidR="000B61C7" w:rsidRDefault="000F2A5E">
            <w:r>
              <w:rPr>
                <w:sz w:val="17"/>
              </w:rPr>
              <w:t>Traffic/congestion</w:t>
            </w:r>
          </w:p>
        </w:tc>
        <w:tc>
          <w:tcPr>
            <w:tcW w:w="4706" w:type="dxa"/>
            <w:tcMar>
              <w:top w:w="70" w:type="dxa"/>
              <w:left w:w="80" w:type="dxa"/>
              <w:bottom w:w="70" w:type="dxa"/>
              <w:right w:w="80" w:type="dxa"/>
            </w:tcMar>
            <w:vAlign w:val="center"/>
          </w:tcPr>
          <w:p w14:paraId="0C9E13B0" w14:textId="77777777" w:rsidR="000B61C7" w:rsidRDefault="000F2A5E">
            <w:r>
              <w:rPr>
                <w:sz w:val="17"/>
              </w:rPr>
              <w:t>69.53% dissatisfied or very dissatisfied</w:t>
            </w:r>
          </w:p>
        </w:tc>
        <w:tc>
          <w:tcPr>
            <w:tcW w:w="2041" w:type="dxa"/>
            <w:tcMar>
              <w:top w:w="70" w:type="dxa"/>
              <w:left w:w="80" w:type="dxa"/>
              <w:bottom w:w="70" w:type="dxa"/>
              <w:right w:w="80" w:type="dxa"/>
            </w:tcMar>
            <w:vAlign w:val="center"/>
          </w:tcPr>
          <w:p w14:paraId="2765F745" w14:textId="77777777" w:rsidR="000B61C7" w:rsidRDefault="000F2A5E">
            <w:r>
              <w:rPr>
                <w:sz w:val="17"/>
              </w:rPr>
              <w:t>233</w:t>
            </w:r>
          </w:p>
        </w:tc>
      </w:tr>
      <w:tr w:rsidR="000B61C7" w14:paraId="3FE9161C" w14:textId="77777777" w:rsidTr="005E6E66">
        <w:trPr>
          <w:jc w:val="center"/>
        </w:trPr>
        <w:tc>
          <w:tcPr>
            <w:tcW w:w="1413" w:type="dxa"/>
            <w:tcMar>
              <w:top w:w="70" w:type="dxa"/>
              <w:left w:w="80" w:type="dxa"/>
              <w:bottom w:w="70" w:type="dxa"/>
              <w:right w:w="80" w:type="dxa"/>
            </w:tcMar>
            <w:vAlign w:val="center"/>
          </w:tcPr>
          <w:p w14:paraId="5E4F0CB1" w14:textId="77777777" w:rsidR="000B61C7" w:rsidRDefault="000F2A5E">
            <w:r>
              <w:rPr>
                <w:sz w:val="17"/>
              </w:rPr>
              <w:t>Q22</w:t>
            </w:r>
          </w:p>
        </w:tc>
        <w:tc>
          <w:tcPr>
            <w:tcW w:w="2608" w:type="dxa"/>
            <w:tcMar>
              <w:top w:w="70" w:type="dxa"/>
              <w:left w:w="80" w:type="dxa"/>
              <w:bottom w:w="70" w:type="dxa"/>
              <w:right w:w="80" w:type="dxa"/>
            </w:tcMar>
            <w:vAlign w:val="center"/>
          </w:tcPr>
          <w:p w14:paraId="19A6C728" w14:textId="77777777" w:rsidR="000B61C7" w:rsidRDefault="000F2A5E">
            <w:r>
              <w:rPr>
                <w:sz w:val="17"/>
              </w:rPr>
              <w:t>Community safety importance</w:t>
            </w:r>
          </w:p>
        </w:tc>
        <w:tc>
          <w:tcPr>
            <w:tcW w:w="4706" w:type="dxa"/>
            <w:tcMar>
              <w:top w:w="70" w:type="dxa"/>
              <w:left w:w="80" w:type="dxa"/>
              <w:bottom w:w="70" w:type="dxa"/>
              <w:right w:w="80" w:type="dxa"/>
            </w:tcMar>
            <w:vAlign w:val="center"/>
          </w:tcPr>
          <w:p w14:paraId="2E330FBE" w14:textId="77777777" w:rsidR="000B61C7" w:rsidRDefault="000F2A5E">
            <w:r>
              <w:rPr>
                <w:sz w:val="17"/>
              </w:rPr>
              <w:t>98.68% important or very important</w:t>
            </w:r>
          </w:p>
        </w:tc>
        <w:tc>
          <w:tcPr>
            <w:tcW w:w="2041" w:type="dxa"/>
            <w:tcMar>
              <w:top w:w="70" w:type="dxa"/>
              <w:left w:w="80" w:type="dxa"/>
              <w:bottom w:w="70" w:type="dxa"/>
              <w:right w:w="80" w:type="dxa"/>
            </w:tcMar>
            <w:vAlign w:val="center"/>
          </w:tcPr>
          <w:p w14:paraId="77EFA710" w14:textId="77777777" w:rsidR="000B61C7" w:rsidRDefault="000F2A5E">
            <w:r>
              <w:rPr>
                <w:sz w:val="17"/>
              </w:rPr>
              <w:t>228</w:t>
            </w:r>
          </w:p>
        </w:tc>
      </w:tr>
      <w:tr w:rsidR="000B61C7" w14:paraId="63AF167F" w14:textId="77777777" w:rsidTr="005E6E66">
        <w:trPr>
          <w:jc w:val="center"/>
        </w:trPr>
        <w:tc>
          <w:tcPr>
            <w:tcW w:w="1413" w:type="dxa"/>
            <w:tcMar>
              <w:top w:w="70" w:type="dxa"/>
              <w:left w:w="80" w:type="dxa"/>
              <w:bottom w:w="70" w:type="dxa"/>
              <w:right w:w="80" w:type="dxa"/>
            </w:tcMar>
            <w:vAlign w:val="center"/>
          </w:tcPr>
          <w:p w14:paraId="6C020F67" w14:textId="77777777" w:rsidR="000B61C7" w:rsidRDefault="000F2A5E">
            <w:r>
              <w:rPr>
                <w:sz w:val="17"/>
              </w:rPr>
              <w:t>Q22</w:t>
            </w:r>
          </w:p>
        </w:tc>
        <w:tc>
          <w:tcPr>
            <w:tcW w:w="2608" w:type="dxa"/>
            <w:tcMar>
              <w:top w:w="70" w:type="dxa"/>
              <w:left w:w="80" w:type="dxa"/>
              <w:bottom w:w="70" w:type="dxa"/>
              <w:right w:w="80" w:type="dxa"/>
            </w:tcMar>
            <w:vAlign w:val="center"/>
          </w:tcPr>
          <w:p w14:paraId="2615DD74" w14:textId="77777777" w:rsidR="000B61C7" w:rsidRDefault="000F2A5E">
            <w:r>
              <w:rPr>
                <w:sz w:val="17"/>
              </w:rPr>
              <w:t>Environment importance</w:t>
            </w:r>
          </w:p>
        </w:tc>
        <w:tc>
          <w:tcPr>
            <w:tcW w:w="4706" w:type="dxa"/>
            <w:tcMar>
              <w:top w:w="70" w:type="dxa"/>
              <w:left w:w="80" w:type="dxa"/>
              <w:bottom w:w="70" w:type="dxa"/>
              <w:right w:w="80" w:type="dxa"/>
            </w:tcMar>
            <w:vAlign w:val="center"/>
          </w:tcPr>
          <w:p w14:paraId="2FDD6882" w14:textId="77777777" w:rsidR="000B61C7" w:rsidRDefault="000F2A5E">
            <w:r>
              <w:rPr>
                <w:sz w:val="17"/>
              </w:rPr>
              <w:t>88.26% important or very important</w:t>
            </w:r>
          </w:p>
        </w:tc>
        <w:tc>
          <w:tcPr>
            <w:tcW w:w="2041" w:type="dxa"/>
            <w:tcMar>
              <w:top w:w="70" w:type="dxa"/>
              <w:left w:w="80" w:type="dxa"/>
              <w:bottom w:w="70" w:type="dxa"/>
              <w:right w:w="80" w:type="dxa"/>
            </w:tcMar>
            <w:vAlign w:val="center"/>
          </w:tcPr>
          <w:p w14:paraId="5BFF13FF" w14:textId="77777777" w:rsidR="000B61C7" w:rsidRDefault="000F2A5E">
            <w:r>
              <w:rPr>
                <w:sz w:val="17"/>
              </w:rPr>
              <w:t>230</w:t>
            </w:r>
          </w:p>
        </w:tc>
      </w:tr>
      <w:tr w:rsidR="000B61C7" w14:paraId="6860DC37" w14:textId="77777777" w:rsidTr="005E6E66">
        <w:trPr>
          <w:jc w:val="center"/>
        </w:trPr>
        <w:tc>
          <w:tcPr>
            <w:tcW w:w="1413" w:type="dxa"/>
            <w:tcMar>
              <w:top w:w="70" w:type="dxa"/>
              <w:left w:w="80" w:type="dxa"/>
              <w:bottom w:w="70" w:type="dxa"/>
              <w:right w:w="80" w:type="dxa"/>
            </w:tcMar>
            <w:vAlign w:val="center"/>
          </w:tcPr>
          <w:p w14:paraId="4EFEDF73" w14:textId="77777777" w:rsidR="000B61C7" w:rsidRDefault="000F2A5E">
            <w:r>
              <w:rPr>
                <w:sz w:val="17"/>
              </w:rPr>
              <w:t>Q22</w:t>
            </w:r>
          </w:p>
        </w:tc>
        <w:tc>
          <w:tcPr>
            <w:tcW w:w="2608" w:type="dxa"/>
            <w:tcMar>
              <w:top w:w="70" w:type="dxa"/>
              <w:left w:w="80" w:type="dxa"/>
              <w:bottom w:w="70" w:type="dxa"/>
              <w:right w:w="80" w:type="dxa"/>
            </w:tcMar>
            <w:vAlign w:val="center"/>
          </w:tcPr>
          <w:p w14:paraId="22CF2C66" w14:textId="77777777" w:rsidR="000B61C7" w:rsidRDefault="000F2A5E">
            <w:r>
              <w:rPr>
                <w:sz w:val="17"/>
              </w:rPr>
              <w:t>Open spaces importance</w:t>
            </w:r>
          </w:p>
        </w:tc>
        <w:tc>
          <w:tcPr>
            <w:tcW w:w="4706" w:type="dxa"/>
            <w:tcMar>
              <w:top w:w="70" w:type="dxa"/>
              <w:left w:w="80" w:type="dxa"/>
              <w:bottom w:w="70" w:type="dxa"/>
              <w:right w:w="80" w:type="dxa"/>
            </w:tcMar>
            <w:vAlign w:val="center"/>
          </w:tcPr>
          <w:p w14:paraId="00E714EF" w14:textId="77777777" w:rsidR="000B61C7" w:rsidRDefault="000F2A5E">
            <w:r>
              <w:rPr>
                <w:sz w:val="17"/>
              </w:rPr>
              <w:t>84.72% important or very important</w:t>
            </w:r>
          </w:p>
        </w:tc>
        <w:tc>
          <w:tcPr>
            <w:tcW w:w="2041" w:type="dxa"/>
            <w:tcMar>
              <w:top w:w="70" w:type="dxa"/>
              <w:left w:w="80" w:type="dxa"/>
              <w:bottom w:w="70" w:type="dxa"/>
              <w:right w:w="80" w:type="dxa"/>
            </w:tcMar>
            <w:vAlign w:val="center"/>
          </w:tcPr>
          <w:p w14:paraId="3C1ABA10" w14:textId="77777777" w:rsidR="000B61C7" w:rsidRDefault="000F2A5E">
            <w:r>
              <w:rPr>
                <w:sz w:val="17"/>
              </w:rPr>
              <w:t>229</w:t>
            </w:r>
          </w:p>
        </w:tc>
      </w:tr>
    </w:tbl>
    <w:p w14:paraId="66ED1E91" w14:textId="77777777" w:rsidR="000B61C7" w:rsidRDefault="000F2A5E">
      <w:pPr>
        <w:spacing w:before="200"/>
      </w:pPr>
      <w:r>
        <w:rPr>
          <w:i/>
          <w:color w:val="68737D"/>
          <w:sz w:val="16"/>
        </w:rPr>
        <w:t>Source: Bradley Stoke Residents Survey, SurveyMonkey “Data All” export dated 8 September 2026. Percentages and response counts are reproduced from the source export unless explicitly identified as combined figures.</w:t>
      </w:r>
    </w:p>
    <w:sectPr w:rsidR="000B61C7" w:rsidSect="00034616">
      <w:headerReference w:type="default" r:id="rId23"/>
      <w:footerReference w:type="default" r:id="rId24"/>
      <w:pgSz w:w="11906" w:h="16838"/>
      <w:pgMar w:top="879" w:right="935" w:bottom="850"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BA4ED" w14:textId="77777777" w:rsidR="000F2A5E" w:rsidRDefault="000F2A5E">
      <w:pPr>
        <w:spacing w:after="0" w:line="240" w:lineRule="auto"/>
      </w:pPr>
      <w:r>
        <w:separator/>
      </w:r>
    </w:p>
  </w:endnote>
  <w:endnote w:type="continuationSeparator" w:id="0">
    <w:p w14:paraId="41618267" w14:textId="77777777" w:rsidR="000F2A5E" w:rsidRDefault="000F2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46C76" w14:textId="77777777" w:rsidR="000B61C7" w:rsidRDefault="000F2A5E">
    <w:pPr>
      <w:pStyle w:val="Footer"/>
      <w:jc w:val="center"/>
    </w:pPr>
    <w:r>
      <w:rPr>
        <w:color w:val="68737D"/>
        <w:sz w:val="16"/>
      </w:rPr>
      <w:t xml:space="preserve">Residents Survey - Results and Analysis   |   8 September 2026   |   Page </w:t>
    </w:r>
    <w:r>
      <w:fldChar w:fldCharType="begin"/>
    </w:r>
    <w:r>
      <w:instrText xml:space="preserve"> PAGE </w:instrText>
    </w:r>
    <w:r>
      <w:fldChar w:fldCharType="separate"/>
    </w:r>
    <w:r w:rsidR="0001316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A6D0F" w14:textId="77777777" w:rsidR="000F2A5E" w:rsidRDefault="000F2A5E">
      <w:pPr>
        <w:spacing w:after="0" w:line="240" w:lineRule="auto"/>
      </w:pPr>
      <w:r>
        <w:separator/>
      </w:r>
    </w:p>
  </w:footnote>
  <w:footnote w:type="continuationSeparator" w:id="0">
    <w:p w14:paraId="4DC666EE" w14:textId="77777777" w:rsidR="000F2A5E" w:rsidRDefault="000F2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0CCE6" w14:textId="77777777" w:rsidR="000B61C7" w:rsidRDefault="000F2A5E">
    <w:pPr>
      <w:pStyle w:val="Header"/>
      <w:jc w:val="right"/>
    </w:pPr>
    <w:r>
      <w:rPr>
        <w:b/>
        <w:color w:val="68737D"/>
        <w:sz w:val="16"/>
      </w:rPr>
      <w:t>BRADLEY STOKE TOWN COUNCIL  |  AGENDA ITEM 7.3.3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419505">
    <w:abstractNumId w:val="8"/>
  </w:num>
  <w:num w:numId="2" w16cid:durableId="1632514709">
    <w:abstractNumId w:val="6"/>
  </w:num>
  <w:num w:numId="3" w16cid:durableId="1325011448">
    <w:abstractNumId w:val="5"/>
  </w:num>
  <w:num w:numId="4" w16cid:durableId="1886139888">
    <w:abstractNumId w:val="4"/>
  </w:num>
  <w:num w:numId="5" w16cid:durableId="482356559">
    <w:abstractNumId w:val="7"/>
  </w:num>
  <w:num w:numId="6" w16cid:durableId="777220288">
    <w:abstractNumId w:val="3"/>
  </w:num>
  <w:num w:numId="7" w16cid:durableId="71631712">
    <w:abstractNumId w:val="2"/>
  </w:num>
  <w:num w:numId="8" w16cid:durableId="1482193848">
    <w:abstractNumId w:val="1"/>
  </w:num>
  <w:num w:numId="9" w16cid:durableId="1739984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168"/>
    <w:rsid w:val="00034616"/>
    <w:rsid w:val="0006063C"/>
    <w:rsid w:val="000B61C7"/>
    <w:rsid w:val="000F2A5E"/>
    <w:rsid w:val="0015074B"/>
    <w:rsid w:val="0029639D"/>
    <w:rsid w:val="00326F90"/>
    <w:rsid w:val="00351C4F"/>
    <w:rsid w:val="005E6E66"/>
    <w:rsid w:val="0061167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B69652"/>
  <w14:defaultImageDpi w14:val="300"/>
  <w15:docId w15:val="{A2F8622E-AE65-4F4B-8D0F-37B4EADA0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008C7A"/>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Subtitle">
    <w:name w:val="Report Subtitle"/>
    <w:rPr>
      <w:rFonts w:ascii="Arial" w:hAnsi="Arial"/>
      <w:color w:val="68737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Props1.xml><?xml version="1.0" encoding="utf-8"?>
<ds:datastoreItem xmlns:ds="http://schemas.openxmlformats.org/officeDocument/2006/customXml" ds:itemID="{63B95867-3875-4560-83FF-5B50CA3D3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7BD873B-B04C-4884-82A8-D8AC48624D3C}">
  <ds:schemaRefs>
    <ds:schemaRef ds:uri="http://schemas.microsoft.com/sharepoint/v3/contenttype/forms"/>
  </ds:schemaRefs>
</ds:datastoreItem>
</file>

<file path=customXml/itemProps4.xml><?xml version="1.0" encoding="utf-8"?>
<ds:datastoreItem xmlns:ds="http://schemas.openxmlformats.org/officeDocument/2006/customXml" ds:itemID="{331F2790-5721-4C6A-9A35-67FD597CEF21}">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1809</Words>
  <Characters>10314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Sharon Petela</cp:lastModifiedBy>
  <cp:revision>2</cp:revision>
  <cp:lastPrinted>2026-09-09T08:41:00Z</cp:lastPrinted>
  <dcterms:created xsi:type="dcterms:W3CDTF">2026-09-17T10:33:00Z</dcterms:created>
  <dcterms:modified xsi:type="dcterms:W3CDTF">2026-09-17T10:33:00Z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MediaServiceImageTags">
    <vt:lpwstr/>
  </property>
</Properties>
</file>