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334A2B" w14:textId="77777777" w:rsidR="0064473D" w:rsidRDefault="003C3567">
      <w:pPr>
        <w:jc w:val="center"/>
      </w:pPr>
      <w:r>
        <w:rPr>
          <w:rFonts w:ascii="Aptos Display" w:hAnsi="Aptos Display"/>
          <w:b/>
          <w:color w:val="006B5F"/>
          <w:sz w:val="24"/>
        </w:rPr>
        <w:t>BRADLEY STOKE TOWN COUNCIL</w:t>
      </w:r>
    </w:p>
    <w:p w14:paraId="61B0FA0F" w14:textId="77777777" w:rsidR="0064473D" w:rsidRDefault="003C3567">
      <w:pPr>
        <w:pStyle w:val="Title"/>
        <w:jc w:val="center"/>
      </w:pPr>
      <w:r>
        <w:t>Baileys Court Activity Centre Redevelopment</w:t>
      </w:r>
    </w:p>
    <w:p w14:paraId="5D75F242" w14:textId="77777777" w:rsidR="0064473D" w:rsidRDefault="003C3567">
      <w:pPr>
        <w:spacing w:after="280"/>
        <w:jc w:val="center"/>
      </w:pPr>
      <w:r>
        <w:rPr>
          <w:rFonts w:ascii="Aptos Display" w:hAnsi="Aptos Display"/>
          <w:b/>
          <w:sz w:val="34"/>
        </w:rPr>
        <w:t>Public Consultation Results Report including Bradley Stoke Resident Analysis</w:t>
      </w:r>
    </w:p>
    <w:tbl>
      <w:tblPr>
        <w:tblW w:w="0" w:type="auto"/>
        <w:jc w:val="center"/>
        <w:tblBorders>
          <w:top w:val="single" w:sz="5" w:space="0" w:color="A9C4BF"/>
          <w:left w:val="single" w:sz="5" w:space="0" w:color="A9C4BF"/>
          <w:bottom w:val="single" w:sz="5" w:space="0" w:color="A9C4BF"/>
          <w:right w:val="single" w:sz="5" w:space="0" w:color="A9C4BF"/>
          <w:insideH w:val="single" w:sz="5" w:space="0" w:color="A9C4BF"/>
          <w:insideV w:val="single" w:sz="5" w:space="0" w:color="A9C4BF"/>
        </w:tblBorders>
        <w:tblLayout w:type="fixed"/>
        <w:tblLook w:val="04A0" w:firstRow="1" w:lastRow="0" w:firstColumn="1" w:lastColumn="0" w:noHBand="0" w:noVBand="1"/>
      </w:tblPr>
      <w:tblGrid>
        <w:gridCol w:w="4986"/>
        <w:gridCol w:w="4986"/>
      </w:tblGrid>
      <w:tr w:rsidR="0064473D" w14:paraId="5A212D1D" w14:textId="77777777">
        <w:trPr>
          <w:jc w:val="center"/>
        </w:trPr>
        <w:tc>
          <w:tcPr>
            <w:tcW w:w="4986" w:type="dxa"/>
            <w:shd w:val="clear" w:color="auto" w:fill="006B5F"/>
            <w:tcMar>
              <w:top w:w="80" w:type="dxa"/>
              <w:left w:w="90" w:type="dxa"/>
              <w:bottom w:w="80" w:type="dxa"/>
              <w:right w:w="90" w:type="dxa"/>
            </w:tcMar>
            <w:vAlign w:val="center"/>
          </w:tcPr>
          <w:p w14:paraId="3A7697AE" w14:textId="77777777" w:rsidR="0064473D" w:rsidRDefault="003C3567">
            <w:r>
              <w:rPr>
                <w:b/>
                <w:color w:val="FFFFFF"/>
                <w:sz w:val="18"/>
              </w:rPr>
              <w:t>Report date</w:t>
            </w:r>
          </w:p>
        </w:tc>
        <w:tc>
          <w:tcPr>
            <w:tcW w:w="4986" w:type="dxa"/>
            <w:tcMar>
              <w:top w:w="80" w:type="dxa"/>
              <w:left w:w="90" w:type="dxa"/>
              <w:bottom w:w="80" w:type="dxa"/>
              <w:right w:w="90" w:type="dxa"/>
            </w:tcMar>
            <w:vAlign w:val="center"/>
          </w:tcPr>
          <w:p w14:paraId="72A5B517" w14:textId="77777777" w:rsidR="0064473D" w:rsidRDefault="003C3567">
            <w:r>
              <w:rPr>
                <w:sz w:val="18"/>
              </w:rPr>
              <w:t>21 July 2026</w:t>
            </w:r>
          </w:p>
        </w:tc>
      </w:tr>
      <w:tr w:rsidR="0064473D" w14:paraId="0E9B6DD9" w14:textId="77777777">
        <w:trPr>
          <w:jc w:val="center"/>
        </w:trPr>
        <w:tc>
          <w:tcPr>
            <w:tcW w:w="4986" w:type="dxa"/>
            <w:shd w:val="clear" w:color="auto" w:fill="006B5F"/>
            <w:tcMar>
              <w:top w:w="80" w:type="dxa"/>
              <w:left w:w="90" w:type="dxa"/>
              <w:bottom w:w="80" w:type="dxa"/>
              <w:right w:w="90" w:type="dxa"/>
            </w:tcMar>
            <w:vAlign w:val="center"/>
          </w:tcPr>
          <w:p w14:paraId="45CC91D1" w14:textId="77777777" w:rsidR="0064473D" w:rsidRDefault="003C3567">
            <w:r>
              <w:rPr>
                <w:b/>
                <w:color w:val="FFFFFF"/>
                <w:sz w:val="18"/>
              </w:rPr>
              <w:t>Report author</w:t>
            </w:r>
          </w:p>
        </w:tc>
        <w:tc>
          <w:tcPr>
            <w:tcW w:w="4986" w:type="dxa"/>
            <w:tcMar>
              <w:top w:w="80" w:type="dxa"/>
              <w:left w:w="90" w:type="dxa"/>
              <w:bottom w:w="80" w:type="dxa"/>
              <w:right w:w="90" w:type="dxa"/>
            </w:tcMar>
            <w:vAlign w:val="center"/>
          </w:tcPr>
          <w:p w14:paraId="5402E86D" w14:textId="77777777" w:rsidR="0064473D" w:rsidRDefault="003C3567">
            <w:r>
              <w:rPr>
                <w:sz w:val="18"/>
              </w:rPr>
              <w:t>Philip Francis-Barber, Facilities &amp; Operations Manager / Deputy Town Clerk</w:t>
            </w:r>
          </w:p>
        </w:tc>
      </w:tr>
      <w:tr w:rsidR="0064473D" w14:paraId="1FADF6E9" w14:textId="77777777">
        <w:trPr>
          <w:jc w:val="center"/>
        </w:trPr>
        <w:tc>
          <w:tcPr>
            <w:tcW w:w="4986" w:type="dxa"/>
            <w:shd w:val="clear" w:color="auto" w:fill="006B5F"/>
            <w:tcMar>
              <w:top w:w="80" w:type="dxa"/>
              <w:left w:w="90" w:type="dxa"/>
              <w:bottom w:w="80" w:type="dxa"/>
              <w:right w:w="90" w:type="dxa"/>
            </w:tcMar>
            <w:vAlign w:val="center"/>
          </w:tcPr>
          <w:p w14:paraId="7BD1E5E9" w14:textId="77777777" w:rsidR="0064473D" w:rsidRDefault="003C3567">
            <w:r>
              <w:rPr>
                <w:b/>
                <w:color w:val="FFFFFF"/>
                <w:sz w:val="18"/>
              </w:rPr>
              <w:t>Decision required</w:t>
            </w:r>
          </w:p>
        </w:tc>
        <w:tc>
          <w:tcPr>
            <w:tcW w:w="4986" w:type="dxa"/>
            <w:tcMar>
              <w:top w:w="80" w:type="dxa"/>
              <w:left w:w="90" w:type="dxa"/>
              <w:bottom w:w="80" w:type="dxa"/>
              <w:right w:w="90" w:type="dxa"/>
            </w:tcMar>
            <w:vAlign w:val="center"/>
          </w:tcPr>
          <w:p w14:paraId="3E6E11CF" w14:textId="77777777" w:rsidR="0064473D" w:rsidRDefault="003C3567">
            <w:r>
              <w:rPr>
                <w:sz w:val="18"/>
              </w:rPr>
              <w:t>To note the full consultation and resident-filtered results and agree how each should inform the next stage of the project</w:t>
            </w:r>
          </w:p>
        </w:tc>
      </w:tr>
    </w:tbl>
    <w:p w14:paraId="6FE611C6" w14:textId="77777777" w:rsidR="0064473D" w:rsidRDefault="0064473D"/>
    <w:tbl>
      <w:tblPr>
        <w:tblW w:w="0" w:type="auto"/>
        <w:jc w:val="center"/>
        <w:tblBorders>
          <w:top w:val="single" w:sz="8" w:space="0" w:color="006B5F"/>
          <w:left w:val="single" w:sz="8" w:space="0" w:color="006B5F"/>
          <w:bottom w:val="single" w:sz="8" w:space="0" w:color="006B5F"/>
          <w:right w:val="single" w:sz="8" w:space="0" w:color="006B5F"/>
          <w:insideH w:val="single" w:sz="8" w:space="0" w:color="006B5F"/>
          <w:insideV w:val="single" w:sz="8" w:space="0" w:color="006B5F"/>
        </w:tblBorders>
        <w:tblLayout w:type="fixed"/>
        <w:tblLook w:val="04A0" w:firstRow="1" w:lastRow="0" w:firstColumn="1" w:lastColumn="0" w:noHBand="0" w:noVBand="1"/>
      </w:tblPr>
      <w:tblGrid>
        <w:gridCol w:w="9972"/>
      </w:tblGrid>
      <w:tr w:rsidR="0064473D" w14:paraId="3028EEB1" w14:textId="77777777">
        <w:trPr>
          <w:cantSplit/>
          <w:jc w:val="center"/>
        </w:trPr>
        <w:tc>
          <w:tcPr>
            <w:tcW w:w="9972" w:type="dxa"/>
            <w:shd w:val="clear" w:color="auto" w:fill="E8F1EF"/>
            <w:tcMar>
              <w:top w:w="140" w:type="dxa"/>
              <w:left w:w="170" w:type="dxa"/>
              <w:bottom w:w="140" w:type="dxa"/>
              <w:right w:w="170" w:type="dxa"/>
            </w:tcMar>
          </w:tcPr>
          <w:p w14:paraId="6844BD8E" w14:textId="77777777" w:rsidR="0064473D" w:rsidRDefault="003C3567">
            <w:r>
              <w:rPr>
                <w:rFonts w:ascii="Aptos Display" w:hAnsi="Aptos Display"/>
                <w:b/>
                <w:color w:val="006B5F"/>
                <w:sz w:val="22"/>
              </w:rPr>
              <w:t>Headline finding</w:t>
            </w:r>
            <w:r>
              <w:br/>
              <w:t>The consultation shows strong support for Baileys Court remaining a long-term community facility and a clear expectation that refurbishment would increase future use. The separate analysis of the 75 respondents who confirmed that they live in Bradley Stoke reaches the same broad conclusion, but exposes material differences in usage, funding concerns and improvement priorities. Resident respondents placed slightly less emphasis on sports changing rooms, expressed greater concern about borrowing and debt, and were more likely to oppose the project proceeding than the full sample.</w:t>
            </w:r>
          </w:p>
        </w:tc>
      </w:tr>
    </w:tbl>
    <w:p w14:paraId="2D59CAAD" w14:textId="77777777" w:rsidR="0064473D" w:rsidRDefault="0064473D">
      <w:pPr>
        <w:spacing w:after="0"/>
      </w:pPr>
    </w:p>
    <w:tbl>
      <w:tblPr>
        <w:tblW w:w="0" w:type="auto"/>
        <w:jc w:val="center"/>
        <w:tblBorders>
          <w:top w:val="single" w:sz="4" w:space="0" w:color="B7C7C4"/>
          <w:left w:val="single" w:sz="4" w:space="0" w:color="B7C7C4"/>
          <w:bottom w:val="single" w:sz="4" w:space="0" w:color="B7C7C4"/>
          <w:right w:val="single" w:sz="4" w:space="0" w:color="B7C7C4"/>
          <w:insideH w:val="single" w:sz="4" w:space="0" w:color="B7C7C4"/>
          <w:insideV w:val="single" w:sz="4" w:space="0" w:color="B7C7C4"/>
        </w:tblBorders>
        <w:tblLayout w:type="fixed"/>
        <w:tblLook w:val="04A0" w:firstRow="1" w:lastRow="0" w:firstColumn="1" w:lastColumn="0" w:noHBand="0" w:noVBand="1"/>
      </w:tblPr>
      <w:tblGrid>
        <w:gridCol w:w="3324"/>
        <w:gridCol w:w="3324"/>
        <w:gridCol w:w="3324"/>
      </w:tblGrid>
      <w:tr w:rsidR="0064473D" w14:paraId="0C33E6A3" w14:textId="77777777">
        <w:trPr>
          <w:jc w:val="center"/>
        </w:trPr>
        <w:tc>
          <w:tcPr>
            <w:tcW w:w="3324" w:type="dxa"/>
            <w:shd w:val="clear" w:color="auto" w:fill="F5F8F7"/>
            <w:tcMar>
              <w:top w:w="130" w:type="dxa"/>
              <w:left w:w="100" w:type="dxa"/>
              <w:bottom w:w="130" w:type="dxa"/>
              <w:right w:w="100" w:type="dxa"/>
            </w:tcMar>
          </w:tcPr>
          <w:p w14:paraId="68C12889" w14:textId="77777777" w:rsidR="0064473D" w:rsidRDefault="003C3567">
            <w:pPr>
              <w:jc w:val="center"/>
            </w:pPr>
            <w:r>
              <w:rPr>
                <w:rFonts w:ascii="Aptos Display" w:hAnsi="Aptos Display"/>
                <w:b/>
                <w:color w:val="006B5F"/>
                <w:sz w:val="32"/>
              </w:rPr>
              <w:t>90</w:t>
            </w:r>
            <w:r>
              <w:br/>
            </w:r>
            <w:r>
              <w:rPr>
                <w:sz w:val="16"/>
              </w:rPr>
              <w:t>Total responses</w:t>
            </w:r>
          </w:p>
        </w:tc>
        <w:tc>
          <w:tcPr>
            <w:tcW w:w="3324" w:type="dxa"/>
            <w:shd w:val="clear" w:color="auto" w:fill="F5F8F7"/>
            <w:tcMar>
              <w:top w:w="130" w:type="dxa"/>
              <w:left w:w="100" w:type="dxa"/>
              <w:bottom w:w="130" w:type="dxa"/>
              <w:right w:w="100" w:type="dxa"/>
            </w:tcMar>
          </w:tcPr>
          <w:p w14:paraId="553CF9DE" w14:textId="77777777" w:rsidR="0064473D" w:rsidRDefault="003C3567">
            <w:pPr>
              <w:jc w:val="center"/>
            </w:pPr>
            <w:r>
              <w:rPr>
                <w:rFonts w:ascii="Aptos Display" w:hAnsi="Aptos Display"/>
                <w:b/>
                <w:color w:val="006B5F"/>
                <w:sz w:val="32"/>
              </w:rPr>
              <w:t>8.72/10</w:t>
            </w:r>
            <w:r>
              <w:br/>
            </w:r>
            <w:r>
              <w:rPr>
                <w:sz w:val="16"/>
              </w:rPr>
              <w:t>Importance of long-term retention</w:t>
            </w:r>
          </w:p>
        </w:tc>
        <w:tc>
          <w:tcPr>
            <w:tcW w:w="3324" w:type="dxa"/>
            <w:shd w:val="clear" w:color="auto" w:fill="F5F8F7"/>
            <w:tcMar>
              <w:top w:w="130" w:type="dxa"/>
              <w:left w:w="100" w:type="dxa"/>
              <w:bottom w:w="130" w:type="dxa"/>
              <w:right w:w="100" w:type="dxa"/>
            </w:tcMar>
          </w:tcPr>
          <w:p w14:paraId="1F4A9B48" w14:textId="77777777" w:rsidR="0064473D" w:rsidRDefault="003C3567">
            <w:pPr>
              <w:jc w:val="center"/>
            </w:pPr>
            <w:r>
              <w:rPr>
                <w:rFonts w:ascii="Aptos Display" w:hAnsi="Aptos Display"/>
                <w:b/>
                <w:color w:val="006B5F"/>
                <w:sz w:val="32"/>
              </w:rPr>
              <w:t>7.94/10</w:t>
            </w:r>
            <w:r>
              <w:br/>
            </w:r>
            <w:r>
              <w:rPr>
                <w:sz w:val="16"/>
              </w:rPr>
              <w:t>Likelihood of increased use</w:t>
            </w:r>
          </w:p>
        </w:tc>
      </w:tr>
      <w:tr w:rsidR="0064473D" w14:paraId="7F377A12" w14:textId="77777777">
        <w:trPr>
          <w:jc w:val="center"/>
        </w:trPr>
        <w:tc>
          <w:tcPr>
            <w:tcW w:w="3324" w:type="dxa"/>
            <w:shd w:val="clear" w:color="auto" w:fill="FFFFFF"/>
            <w:tcMar>
              <w:top w:w="130" w:type="dxa"/>
              <w:left w:w="100" w:type="dxa"/>
              <w:bottom w:w="130" w:type="dxa"/>
              <w:right w:w="100" w:type="dxa"/>
            </w:tcMar>
          </w:tcPr>
          <w:p w14:paraId="3E23A7A6" w14:textId="77777777" w:rsidR="0064473D" w:rsidRDefault="003C3567">
            <w:pPr>
              <w:jc w:val="center"/>
            </w:pPr>
            <w:r>
              <w:rPr>
                <w:rFonts w:ascii="Aptos Display" w:hAnsi="Aptos Display"/>
                <w:b/>
                <w:color w:val="006B5F"/>
                <w:sz w:val="32"/>
              </w:rPr>
              <w:t>5.36/10</w:t>
            </w:r>
            <w:r>
              <w:br/>
            </w:r>
            <w:r>
              <w:rPr>
                <w:sz w:val="16"/>
              </w:rPr>
              <w:t>Current facility performance</w:t>
            </w:r>
          </w:p>
        </w:tc>
        <w:tc>
          <w:tcPr>
            <w:tcW w:w="3324" w:type="dxa"/>
            <w:shd w:val="clear" w:color="auto" w:fill="FFFFFF"/>
            <w:tcMar>
              <w:top w:w="130" w:type="dxa"/>
              <w:left w:w="100" w:type="dxa"/>
              <w:bottom w:w="130" w:type="dxa"/>
              <w:right w:w="100" w:type="dxa"/>
            </w:tcMar>
          </w:tcPr>
          <w:p w14:paraId="78E35A20" w14:textId="77777777" w:rsidR="0064473D" w:rsidRDefault="003C3567">
            <w:pPr>
              <w:jc w:val="center"/>
            </w:pPr>
            <w:r>
              <w:rPr>
                <w:rFonts w:ascii="Aptos Display" w:hAnsi="Aptos Display"/>
                <w:b/>
                <w:color w:val="006B5F"/>
                <w:sz w:val="32"/>
              </w:rPr>
              <w:t>63.38%</w:t>
            </w:r>
            <w:r>
              <w:br/>
            </w:r>
            <w:r>
              <w:rPr>
                <w:sz w:val="16"/>
              </w:rPr>
              <w:t>Selected café / social space</w:t>
            </w:r>
          </w:p>
        </w:tc>
        <w:tc>
          <w:tcPr>
            <w:tcW w:w="3324" w:type="dxa"/>
            <w:shd w:val="clear" w:color="auto" w:fill="FFFFFF"/>
            <w:tcMar>
              <w:top w:w="130" w:type="dxa"/>
              <w:left w:w="100" w:type="dxa"/>
              <w:bottom w:w="130" w:type="dxa"/>
              <w:right w:w="100" w:type="dxa"/>
            </w:tcMar>
          </w:tcPr>
          <w:p w14:paraId="45058120" w14:textId="77777777" w:rsidR="0064473D" w:rsidRDefault="003C3567">
            <w:pPr>
              <w:jc w:val="center"/>
            </w:pPr>
            <w:r>
              <w:rPr>
                <w:rFonts w:ascii="Aptos Display" w:hAnsi="Aptos Display"/>
                <w:b/>
                <w:color w:val="006B5F"/>
                <w:sz w:val="32"/>
              </w:rPr>
              <w:t>34.92%</w:t>
            </w:r>
            <w:r>
              <w:br/>
            </w:r>
            <w:r>
              <w:rPr>
                <w:sz w:val="16"/>
              </w:rPr>
              <w:t>Selected disruption or parking concerns</w:t>
            </w:r>
          </w:p>
        </w:tc>
      </w:tr>
    </w:tbl>
    <w:p w14:paraId="0E52EF64" w14:textId="77777777" w:rsidR="0064473D" w:rsidRPr="005C36C3" w:rsidRDefault="003C3567" w:rsidP="006B5A3A">
      <w:pPr>
        <w:pStyle w:val="Heading1"/>
      </w:pPr>
      <w:r w:rsidRPr="005C36C3">
        <w:t>Background</w:t>
      </w:r>
    </w:p>
    <w:p w14:paraId="1EB683B5" w14:textId="77777777" w:rsidR="0064473D" w:rsidRDefault="003C3567">
      <w:pPr>
        <w:pStyle w:val="BodyText"/>
      </w:pPr>
      <w:r>
        <w:t>Bradley Stoke Town Council undertook a public consultation on the proposed redevelopment of Baileys Court Activity Centre. The final survey export supplied for this report records 90 responses. This report is deliberately limited to the consultation evidence: it does not assess the architectural design, construction cost plan, grant prospects or previous Council and Working Group decisions, except where those matters formed part of the questions put to respondents.</w:t>
      </w:r>
    </w:p>
    <w:p w14:paraId="6ACC1938" w14:textId="77777777" w:rsidR="006B5A3A" w:rsidRDefault="003C3567" w:rsidP="006B5A3A">
      <w:pPr>
        <w:pStyle w:val="BodyText"/>
      </w:pPr>
      <w:r>
        <w:t>The consultation included questions on respondents’ connection to Bradley Stoke and the centre, current usage, how well the existing facility meets community needs, the importance of retaining the centre, priorities for improvement, likely future use, funding preferences, acceptable borrowing terms, the importance of minimising interest and concerns about the project.</w:t>
      </w:r>
    </w:p>
    <w:p w14:paraId="7AB24D4D" w14:textId="0030CA43" w:rsidR="0064473D" w:rsidRPr="006B5A3A" w:rsidRDefault="003C3567" w:rsidP="006B5A3A">
      <w:pPr>
        <w:pStyle w:val="Heading1"/>
      </w:pPr>
      <w:r w:rsidRPr="006B5A3A">
        <w:lastRenderedPageBreak/>
        <w:t>Purpose of Report</w:t>
      </w:r>
    </w:p>
    <w:p w14:paraId="544DB82B" w14:textId="77777777" w:rsidR="006B5A3A" w:rsidRDefault="003C3567" w:rsidP="006B5A3A">
      <w:pPr>
        <w:pStyle w:val="BodyText"/>
      </w:pPr>
      <w:r>
        <w:t>The purpose of this report is to present the published consultation results in a clear form, identify the strongest and weakest signals within the data, explain the limitations of the exercise and provide an officer recommendation on how the evidence should be used in the next stage of the project.</w:t>
      </w:r>
    </w:p>
    <w:p w14:paraId="0240134F" w14:textId="63732B37" w:rsidR="0064473D" w:rsidRPr="006B5A3A" w:rsidRDefault="003C3567" w:rsidP="006B5A3A">
      <w:pPr>
        <w:pStyle w:val="Heading1"/>
      </w:pPr>
      <w:r w:rsidRPr="006B5A3A">
        <w:t>Consultation Participation and Respondent Profile</w:t>
      </w:r>
    </w:p>
    <w:p w14:paraId="6F317897" w14:textId="77777777" w:rsidR="0064473D" w:rsidRDefault="003C3567">
      <w:pPr>
        <w:pStyle w:val="BodyText"/>
      </w:pPr>
      <w:r>
        <w:t>The survey received 90 responses. Of these, 75 respondents, representing 83.33%, stated that they live in Bradley Stoke. The remaining 15 selected the survey’s “other” response. This gives the consultation a strong local component, although it does not establish that the sample is representative of Bradley Stoke’s population as a whole.</w:t>
      </w:r>
    </w:p>
    <w:p w14:paraId="57EC3038" w14:textId="77777777" w:rsidR="0064473D" w:rsidRDefault="003C3567">
      <w:pPr>
        <w:pStyle w:val="BodyText"/>
      </w:pPr>
      <w:r>
        <w:t>When respondents were asked to identify their relationship to the centre, they could select more than one category. The most common selections were resident, chosen by 69 respondents; member of a sports club, chosen by 25; and regular user of Baileys Court Activity Centre, chosen by 21. Eight respondents identified as a parent or childcare user, one as a local business owner and one selected other. No respondents selected hirer/organiser or stakeholder. The 125 selections therefore describe overlapping relationships rather than 125 separate respondents.</w:t>
      </w:r>
    </w:p>
    <w:tbl>
      <w:tblPr>
        <w:tblW w:w="0" w:type="auto"/>
        <w:jc w:val="center"/>
        <w:tblBorders>
          <w:top w:val="single" w:sz="4" w:space="0" w:color="B7C7C4"/>
          <w:left w:val="single" w:sz="4" w:space="0" w:color="B7C7C4"/>
          <w:bottom w:val="single" w:sz="4" w:space="0" w:color="B7C7C4"/>
          <w:right w:val="single" w:sz="4" w:space="0" w:color="B7C7C4"/>
          <w:insideH w:val="single" w:sz="4" w:space="0" w:color="B7C7C4"/>
          <w:insideV w:val="single" w:sz="4" w:space="0" w:color="B7C7C4"/>
        </w:tblBorders>
        <w:tblLook w:val="04A0" w:firstRow="1" w:lastRow="0" w:firstColumn="1" w:lastColumn="0" w:noHBand="0" w:noVBand="1"/>
      </w:tblPr>
      <w:tblGrid>
        <w:gridCol w:w="3211"/>
        <w:gridCol w:w="3208"/>
        <w:gridCol w:w="3209"/>
      </w:tblGrid>
      <w:tr w:rsidR="0064473D" w14:paraId="6AE4D5A6" w14:textId="77777777">
        <w:trPr>
          <w:tblHeader/>
          <w:jc w:val="center"/>
        </w:trPr>
        <w:tc>
          <w:tcPr>
            <w:tcW w:w="3324" w:type="dxa"/>
            <w:shd w:val="clear" w:color="auto" w:fill="006B5F"/>
            <w:tcMar>
              <w:top w:w="80" w:type="dxa"/>
              <w:left w:w="90" w:type="dxa"/>
              <w:bottom w:w="80" w:type="dxa"/>
              <w:right w:w="90" w:type="dxa"/>
            </w:tcMar>
            <w:vAlign w:val="center"/>
          </w:tcPr>
          <w:p w14:paraId="1B02AC63" w14:textId="77777777" w:rsidR="0064473D" w:rsidRDefault="003C3567">
            <w:r>
              <w:rPr>
                <w:b/>
                <w:color w:val="FFFFFF"/>
                <w:sz w:val="17"/>
              </w:rPr>
              <w:t>Respondent category</w:t>
            </w:r>
          </w:p>
        </w:tc>
        <w:tc>
          <w:tcPr>
            <w:tcW w:w="3324" w:type="dxa"/>
            <w:shd w:val="clear" w:color="auto" w:fill="006B5F"/>
            <w:tcMar>
              <w:top w:w="80" w:type="dxa"/>
              <w:left w:w="90" w:type="dxa"/>
              <w:bottom w:w="80" w:type="dxa"/>
              <w:right w:w="90" w:type="dxa"/>
            </w:tcMar>
            <w:vAlign w:val="center"/>
          </w:tcPr>
          <w:p w14:paraId="509C15D9" w14:textId="77777777" w:rsidR="0064473D" w:rsidRDefault="003C3567">
            <w:r>
              <w:rPr>
                <w:b/>
                <w:color w:val="FFFFFF"/>
                <w:sz w:val="17"/>
              </w:rPr>
              <w:t>Responses</w:t>
            </w:r>
          </w:p>
        </w:tc>
        <w:tc>
          <w:tcPr>
            <w:tcW w:w="3324" w:type="dxa"/>
            <w:shd w:val="clear" w:color="auto" w:fill="006B5F"/>
            <w:tcMar>
              <w:top w:w="80" w:type="dxa"/>
              <w:left w:w="90" w:type="dxa"/>
              <w:bottom w:w="80" w:type="dxa"/>
              <w:right w:w="90" w:type="dxa"/>
            </w:tcMar>
            <w:vAlign w:val="center"/>
          </w:tcPr>
          <w:p w14:paraId="0EFF1567" w14:textId="77777777" w:rsidR="0064473D" w:rsidRDefault="003C3567">
            <w:r>
              <w:rPr>
                <w:b/>
                <w:color w:val="FFFFFF"/>
                <w:sz w:val="17"/>
              </w:rPr>
              <w:t>Published percentage</w:t>
            </w:r>
          </w:p>
        </w:tc>
      </w:tr>
      <w:tr w:rsidR="0064473D" w14:paraId="68372BFF" w14:textId="77777777">
        <w:trPr>
          <w:jc w:val="center"/>
        </w:trPr>
        <w:tc>
          <w:tcPr>
            <w:tcW w:w="3324" w:type="dxa"/>
            <w:tcMar>
              <w:top w:w="80" w:type="dxa"/>
              <w:left w:w="90" w:type="dxa"/>
              <w:bottom w:w="80" w:type="dxa"/>
              <w:right w:w="90" w:type="dxa"/>
            </w:tcMar>
            <w:vAlign w:val="center"/>
          </w:tcPr>
          <w:p w14:paraId="67E53B36" w14:textId="77777777" w:rsidR="0064473D" w:rsidRPr="005C36C3" w:rsidRDefault="003C3567">
            <w:pPr>
              <w:rPr>
                <w:sz w:val="18"/>
                <w:szCs w:val="18"/>
              </w:rPr>
            </w:pPr>
            <w:r w:rsidRPr="005C36C3">
              <w:rPr>
                <w:b/>
                <w:sz w:val="18"/>
                <w:szCs w:val="18"/>
              </w:rPr>
              <w:t>Resident</w:t>
            </w:r>
          </w:p>
        </w:tc>
        <w:tc>
          <w:tcPr>
            <w:tcW w:w="3324" w:type="dxa"/>
            <w:tcMar>
              <w:top w:w="80" w:type="dxa"/>
              <w:left w:w="90" w:type="dxa"/>
              <w:bottom w:w="80" w:type="dxa"/>
              <w:right w:w="90" w:type="dxa"/>
            </w:tcMar>
            <w:vAlign w:val="center"/>
          </w:tcPr>
          <w:p w14:paraId="601D74D6" w14:textId="77777777" w:rsidR="0064473D" w:rsidRPr="005C36C3" w:rsidRDefault="003C3567">
            <w:pPr>
              <w:jc w:val="center"/>
              <w:rPr>
                <w:sz w:val="18"/>
                <w:szCs w:val="18"/>
              </w:rPr>
            </w:pPr>
            <w:r w:rsidRPr="005C36C3">
              <w:rPr>
                <w:sz w:val="18"/>
                <w:szCs w:val="18"/>
              </w:rPr>
              <w:t>69</w:t>
            </w:r>
          </w:p>
        </w:tc>
        <w:tc>
          <w:tcPr>
            <w:tcW w:w="3324" w:type="dxa"/>
            <w:tcMar>
              <w:top w:w="80" w:type="dxa"/>
              <w:left w:w="90" w:type="dxa"/>
              <w:bottom w:w="80" w:type="dxa"/>
              <w:right w:w="90" w:type="dxa"/>
            </w:tcMar>
            <w:vAlign w:val="center"/>
          </w:tcPr>
          <w:p w14:paraId="651816FF" w14:textId="77777777" w:rsidR="0064473D" w:rsidRPr="005C36C3" w:rsidRDefault="003C3567">
            <w:pPr>
              <w:jc w:val="center"/>
              <w:rPr>
                <w:sz w:val="18"/>
                <w:szCs w:val="18"/>
              </w:rPr>
            </w:pPr>
            <w:r w:rsidRPr="005C36C3">
              <w:rPr>
                <w:sz w:val="18"/>
                <w:szCs w:val="18"/>
              </w:rPr>
              <w:t>76.67%</w:t>
            </w:r>
          </w:p>
        </w:tc>
      </w:tr>
      <w:tr w:rsidR="0064473D" w14:paraId="0BE5ADB0" w14:textId="77777777">
        <w:trPr>
          <w:jc w:val="center"/>
        </w:trPr>
        <w:tc>
          <w:tcPr>
            <w:tcW w:w="3324" w:type="dxa"/>
            <w:tcMar>
              <w:top w:w="80" w:type="dxa"/>
              <w:left w:w="90" w:type="dxa"/>
              <w:bottom w:w="80" w:type="dxa"/>
              <w:right w:w="90" w:type="dxa"/>
            </w:tcMar>
            <w:vAlign w:val="center"/>
          </w:tcPr>
          <w:p w14:paraId="279FBD0A" w14:textId="77777777" w:rsidR="0064473D" w:rsidRPr="005C36C3" w:rsidRDefault="003C3567">
            <w:pPr>
              <w:rPr>
                <w:sz w:val="18"/>
                <w:szCs w:val="18"/>
              </w:rPr>
            </w:pPr>
            <w:r w:rsidRPr="005C36C3">
              <w:rPr>
                <w:b/>
                <w:sz w:val="18"/>
                <w:szCs w:val="18"/>
              </w:rPr>
              <w:t>Sports-club member</w:t>
            </w:r>
          </w:p>
        </w:tc>
        <w:tc>
          <w:tcPr>
            <w:tcW w:w="3324" w:type="dxa"/>
            <w:tcMar>
              <w:top w:w="80" w:type="dxa"/>
              <w:left w:w="90" w:type="dxa"/>
              <w:bottom w:w="80" w:type="dxa"/>
              <w:right w:w="90" w:type="dxa"/>
            </w:tcMar>
            <w:vAlign w:val="center"/>
          </w:tcPr>
          <w:p w14:paraId="3623F596" w14:textId="77777777" w:rsidR="0064473D" w:rsidRPr="005C36C3" w:rsidRDefault="003C3567">
            <w:pPr>
              <w:jc w:val="center"/>
              <w:rPr>
                <w:sz w:val="18"/>
                <w:szCs w:val="18"/>
              </w:rPr>
            </w:pPr>
            <w:r w:rsidRPr="005C36C3">
              <w:rPr>
                <w:sz w:val="18"/>
                <w:szCs w:val="18"/>
              </w:rPr>
              <w:t>25</w:t>
            </w:r>
          </w:p>
        </w:tc>
        <w:tc>
          <w:tcPr>
            <w:tcW w:w="3324" w:type="dxa"/>
            <w:tcMar>
              <w:top w:w="80" w:type="dxa"/>
              <w:left w:w="90" w:type="dxa"/>
              <w:bottom w:w="80" w:type="dxa"/>
              <w:right w:w="90" w:type="dxa"/>
            </w:tcMar>
            <w:vAlign w:val="center"/>
          </w:tcPr>
          <w:p w14:paraId="1C9143E0" w14:textId="77777777" w:rsidR="0064473D" w:rsidRPr="005C36C3" w:rsidRDefault="003C3567">
            <w:pPr>
              <w:jc w:val="center"/>
              <w:rPr>
                <w:sz w:val="18"/>
                <w:szCs w:val="18"/>
              </w:rPr>
            </w:pPr>
            <w:r w:rsidRPr="005C36C3">
              <w:rPr>
                <w:sz w:val="18"/>
                <w:szCs w:val="18"/>
              </w:rPr>
              <w:t>27.78%</w:t>
            </w:r>
          </w:p>
        </w:tc>
      </w:tr>
      <w:tr w:rsidR="0064473D" w14:paraId="3A457B7F" w14:textId="77777777">
        <w:trPr>
          <w:jc w:val="center"/>
        </w:trPr>
        <w:tc>
          <w:tcPr>
            <w:tcW w:w="3324" w:type="dxa"/>
            <w:tcMar>
              <w:top w:w="80" w:type="dxa"/>
              <w:left w:w="90" w:type="dxa"/>
              <w:bottom w:w="80" w:type="dxa"/>
              <w:right w:w="90" w:type="dxa"/>
            </w:tcMar>
            <w:vAlign w:val="center"/>
          </w:tcPr>
          <w:p w14:paraId="0544ED17" w14:textId="77777777" w:rsidR="0064473D" w:rsidRPr="005C36C3" w:rsidRDefault="003C3567">
            <w:pPr>
              <w:rPr>
                <w:sz w:val="18"/>
                <w:szCs w:val="18"/>
              </w:rPr>
            </w:pPr>
            <w:r w:rsidRPr="005C36C3">
              <w:rPr>
                <w:b/>
                <w:sz w:val="18"/>
                <w:szCs w:val="18"/>
              </w:rPr>
              <w:t>Regular centre user</w:t>
            </w:r>
          </w:p>
        </w:tc>
        <w:tc>
          <w:tcPr>
            <w:tcW w:w="3324" w:type="dxa"/>
            <w:tcMar>
              <w:top w:w="80" w:type="dxa"/>
              <w:left w:w="90" w:type="dxa"/>
              <w:bottom w:w="80" w:type="dxa"/>
              <w:right w:w="90" w:type="dxa"/>
            </w:tcMar>
            <w:vAlign w:val="center"/>
          </w:tcPr>
          <w:p w14:paraId="40484F04" w14:textId="77777777" w:rsidR="0064473D" w:rsidRPr="005C36C3" w:rsidRDefault="003C3567">
            <w:pPr>
              <w:jc w:val="center"/>
              <w:rPr>
                <w:sz w:val="18"/>
                <w:szCs w:val="18"/>
              </w:rPr>
            </w:pPr>
            <w:r w:rsidRPr="005C36C3">
              <w:rPr>
                <w:sz w:val="18"/>
                <w:szCs w:val="18"/>
              </w:rPr>
              <w:t>21</w:t>
            </w:r>
          </w:p>
        </w:tc>
        <w:tc>
          <w:tcPr>
            <w:tcW w:w="3324" w:type="dxa"/>
            <w:tcMar>
              <w:top w:w="80" w:type="dxa"/>
              <w:left w:w="90" w:type="dxa"/>
              <w:bottom w:w="80" w:type="dxa"/>
              <w:right w:w="90" w:type="dxa"/>
            </w:tcMar>
            <w:vAlign w:val="center"/>
          </w:tcPr>
          <w:p w14:paraId="310C271E" w14:textId="77777777" w:rsidR="0064473D" w:rsidRPr="005C36C3" w:rsidRDefault="003C3567">
            <w:pPr>
              <w:jc w:val="center"/>
              <w:rPr>
                <w:sz w:val="18"/>
                <w:szCs w:val="18"/>
              </w:rPr>
            </w:pPr>
            <w:r w:rsidRPr="005C36C3">
              <w:rPr>
                <w:sz w:val="18"/>
                <w:szCs w:val="18"/>
              </w:rPr>
              <w:t>23.33%</w:t>
            </w:r>
          </w:p>
        </w:tc>
      </w:tr>
      <w:tr w:rsidR="0064473D" w14:paraId="60195C69" w14:textId="77777777">
        <w:trPr>
          <w:jc w:val="center"/>
        </w:trPr>
        <w:tc>
          <w:tcPr>
            <w:tcW w:w="3324" w:type="dxa"/>
            <w:tcMar>
              <w:top w:w="80" w:type="dxa"/>
              <w:left w:w="90" w:type="dxa"/>
              <w:bottom w:w="80" w:type="dxa"/>
              <w:right w:w="90" w:type="dxa"/>
            </w:tcMar>
            <w:vAlign w:val="center"/>
          </w:tcPr>
          <w:p w14:paraId="169F8990" w14:textId="77777777" w:rsidR="0064473D" w:rsidRPr="005C36C3" w:rsidRDefault="003C3567">
            <w:pPr>
              <w:rPr>
                <w:sz w:val="18"/>
                <w:szCs w:val="18"/>
              </w:rPr>
            </w:pPr>
            <w:r w:rsidRPr="005C36C3">
              <w:rPr>
                <w:b/>
                <w:sz w:val="18"/>
                <w:szCs w:val="18"/>
              </w:rPr>
              <w:t>Parent / childcare user</w:t>
            </w:r>
          </w:p>
        </w:tc>
        <w:tc>
          <w:tcPr>
            <w:tcW w:w="3324" w:type="dxa"/>
            <w:tcMar>
              <w:top w:w="80" w:type="dxa"/>
              <w:left w:w="90" w:type="dxa"/>
              <w:bottom w:w="80" w:type="dxa"/>
              <w:right w:w="90" w:type="dxa"/>
            </w:tcMar>
            <w:vAlign w:val="center"/>
          </w:tcPr>
          <w:p w14:paraId="016D054D" w14:textId="77777777" w:rsidR="0064473D" w:rsidRPr="005C36C3" w:rsidRDefault="003C3567">
            <w:pPr>
              <w:jc w:val="center"/>
              <w:rPr>
                <w:sz w:val="18"/>
                <w:szCs w:val="18"/>
              </w:rPr>
            </w:pPr>
            <w:r w:rsidRPr="005C36C3">
              <w:rPr>
                <w:sz w:val="18"/>
                <w:szCs w:val="18"/>
              </w:rPr>
              <w:t>8</w:t>
            </w:r>
          </w:p>
        </w:tc>
        <w:tc>
          <w:tcPr>
            <w:tcW w:w="3324" w:type="dxa"/>
            <w:tcMar>
              <w:top w:w="80" w:type="dxa"/>
              <w:left w:w="90" w:type="dxa"/>
              <w:bottom w:w="80" w:type="dxa"/>
              <w:right w:w="90" w:type="dxa"/>
            </w:tcMar>
            <w:vAlign w:val="center"/>
          </w:tcPr>
          <w:p w14:paraId="4E70FFFD" w14:textId="77777777" w:rsidR="0064473D" w:rsidRPr="005C36C3" w:rsidRDefault="003C3567">
            <w:pPr>
              <w:jc w:val="center"/>
              <w:rPr>
                <w:sz w:val="18"/>
                <w:szCs w:val="18"/>
              </w:rPr>
            </w:pPr>
            <w:r w:rsidRPr="005C36C3">
              <w:rPr>
                <w:sz w:val="18"/>
                <w:szCs w:val="18"/>
              </w:rPr>
              <w:t>8.89%</w:t>
            </w:r>
          </w:p>
        </w:tc>
      </w:tr>
      <w:tr w:rsidR="0064473D" w14:paraId="6B50478C" w14:textId="77777777">
        <w:trPr>
          <w:jc w:val="center"/>
        </w:trPr>
        <w:tc>
          <w:tcPr>
            <w:tcW w:w="3324" w:type="dxa"/>
            <w:tcMar>
              <w:top w:w="80" w:type="dxa"/>
              <w:left w:w="90" w:type="dxa"/>
              <w:bottom w:w="80" w:type="dxa"/>
              <w:right w:w="90" w:type="dxa"/>
            </w:tcMar>
            <w:vAlign w:val="center"/>
          </w:tcPr>
          <w:p w14:paraId="47FB02BC" w14:textId="77777777" w:rsidR="0064473D" w:rsidRPr="005C36C3" w:rsidRDefault="003C3567">
            <w:pPr>
              <w:rPr>
                <w:sz w:val="18"/>
                <w:szCs w:val="18"/>
              </w:rPr>
            </w:pPr>
            <w:r w:rsidRPr="005C36C3">
              <w:rPr>
                <w:b/>
                <w:sz w:val="18"/>
                <w:szCs w:val="18"/>
              </w:rPr>
              <w:t>Local business owner</w:t>
            </w:r>
          </w:p>
        </w:tc>
        <w:tc>
          <w:tcPr>
            <w:tcW w:w="3324" w:type="dxa"/>
            <w:tcMar>
              <w:top w:w="80" w:type="dxa"/>
              <w:left w:w="90" w:type="dxa"/>
              <w:bottom w:w="80" w:type="dxa"/>
              <w:right w:w="90" w:type="dxa"/>
            </w:tcMar>
            <w:vAlign w:val="center"/>
          </w:tcPr>
          <w:p w14:paraId="03A4B0EE" w14:textId="77777777" w:rsidR="0064473D" w:rsidRPr="005C36C3" w:rsidRDefault="003C3567">
            <w:pPr>
              <w:jc w:val="center"/>
              <w:rPr>
                <w:sz w:val="18"/>
                <w:szCs w:val="18"/>
              </w:rPr>
            </w:pPr>
            <w:r w:rsidRPr="005C36C3">
              <w:rPr>
                <w:sz w:val="18"/>
                <w:szCs w:val="18"/>
              </w:rPr>
              <w:t>1</w:t>
            </w:r>
          </w:p>
        </w:tc>
        <w:tc>
          <w:tcPr>
            <w:tcW w:w="3324" w:type="dxa"/>
            <w:tcMar>
              <w:top w:w="80" w:type="dxa"/>
              <w:left w:w="90" w:type="dxa"/>
              <w:bottom w:w="80" w:type="dxa"/>
              <w:right w:w="90" w:type="dxa"/>
            </w:tcMar>
            <w:vAlign w:val="center"/>
          </w:tcPr>
          <w:p w14:paraId="60244AA3" w14:textId="77777777" w:rsidR="0064473D" w:rsidRPr="005C36C3" w:rsidRDefault="003C3567">
            <w:pPr>
              <w:jc w:val="center"/>
              <w:rPr>
                <w:sz w:val="18"/>
                <w:szCs w:val="18"/>
              </w:rPr>
            </w:pPr>
            <w:r w:rsidRPr="005C36C3">
              <w:rPr>
                <w:sz w:val="18"/>
                <w:szCs w:val="18"/>
              </w:rPr>
              <w:t>1.11%</w:t>
            </w:r>
          </w:p>
        </w:tc>
      </w:tr>
      <w:tr w:rsidR="0064473D" w14:paraId="6E075D46" w14:textId="77777777">
        <w:trPr>
          <w:jc w:val="center"/>
        </w:trPr>
        <w:tc>
          <w:tcPr>
            <w:tcW w:w="3324" w:type="dxa"/>
            <w:tcMar>
              <w:top w:w="80" w:type="dxa"/>
              <w:left w:w="90" w:type="dxa"/>
              <w:bottom w:w="80" w:type="dxa"/>
              <w:right w:w="90" w:type="dxa"/>
            </w:tcMar>
            <w:vAlign w:val="center"/>
          </w:tcPr>
          <w:p w14:paraId="01D5BB20" w14:textId="77777777" w:rsidR="0064473D" w:rsidRPr="005C36C3" w:rsidRDefault="003C3567">
            <w:pPr>
              <w:rPr>
                <w:sz w:val="18"/>
                <w:szCs w:val="18"/>
              </w:rPr>
            </w:pPr>
            <w:r w:rsidRPr="005C36C3">
              <w:rPr>
                <w:b/>
                <w:sz w:val="18"/>
                <w:szCs w:val="18"/>
              </w:rPr>
              <w:t>Other</w:t>
            </w:r>
          </w:p>
        </w:tc>
        <w:tc>
          <w:tcPr>
            <w:tcW w:w="3324" w:type="dxa"/>
            <w:tcMar>
              <w:top w:w="80" w:type="dxa"/>
              <w:left w:w="90" w:type="dxa"/>
              <w:bottom w:w="80" w:type="dxa"/>
              <w:right w:w="90" w:type="dxa"/>
            </w:tcMar>
            <w:vAlign w:val="center"/>
          </w:tcPr>
          <w:p w14:paraId="7F787870" w14:textId="77777777" w:rsidR="0064473D" w:rsidRPr="005C36C3" w:rsidRDefault="003C3567">
            <w:pPr>
              <w:jc w:val="center"/>
              <w:rPr>
                <w:sz w:val="18"/>
                <w:szCs w:val="18"/>
              </w:rPr>
            </w:pPr>
            <w:r w:rsidRPr="005C36C3">
              <w:rPr>
                <w:sz w:val="18"/>
                <w:szCs w:val="18"/>
              </w:rPr>
              <w:t>1</w:t>
            </w:r>
          </w:p>
        </w:tc>
        <w:tc>
          <w:tcPr>
            <w:tcW w:w="3324" w:type="dxa"/>
            <w:tcMar>
              <w:top w:w="80" w:type="dxa"/>
              <w:left w:w="90" w:type="dxa"/>
              <w:bottom w:w="80" w:type="dxa"/>
              <w:right w:w="90" w:type="dxa"/>
            </w:tcMar>
            <w:vAlign w:val="center"/>
          </w:tcPr>
          <w:p w14:paraId="4BB15B46" w14:textId="77777777" w:rsidR="0064473D" w:rsidRPr="005C36C3" w:rsidRDefault="003C3567">
            <w:pPr>
              <w:jc w:val="center"/>
              <w:rPr>
                <w:sz w:val="18"/>
                <w:szCs w:val="18"/>
              </w:rPr>
            </w:pPr>
            <w:r w:rsidRPr="005C36C3">
              <w:rPr>
                <w:sz w:val="18"/>
                <w:szCs w:val="18"/>
              </w:rPr>
              <w:t>1.11%</w:t>
            </w:r>
          </w:p>
        </w:tc>
      </w:tr>
    </w:tbl>
    <w:p w14:paraId="0BFD7F52" w14:textId="77777777" w:rsidR="00B97729" w:rsidRDefault="00B97729" w:rsidP="005C36C3">
      <w:pPr>
        <w:spacing w:after="100"/>
        <w:rPr>
          <w:i/>
          <w:color w:val="5B6B70"/>
          <w:sz w:val="16"/>
        </w:rPr>
      </w:pPr>
    </w:p>
    <w:p w14:paraId="259E2752" w14:textId="262F9F42" w:rsidR="0064473D" w:rsidRPr="005C36C3" w:rsidRDefault="003C3567" w:rsidP="00B97729">
      <w:pPr>
        <w:pStyle w:val="Heading1"/>
      </w:pPr>
      <w:r w:rsidRPr="005C36C3">
        <w:t>Current Use of the Centre</w:t>
      </w:r>
    </w:p>
    <w:p w14:paraId="3F574A5C" w14:textId="77777777" w:rsidR="0064473D" w:rsidRDefault="003C3567">
      <w:pPr>
        <w:pStyle w:val="BodyText"/>
      </w:pPr>
      <w:r>
        <w:t>Weekly use was the largest single category, with 36 published responses, or 40.00%. A further 6 responses were monthly and 12 were occasional. Fifteen respondents reported using the centre rarely and 22 selected never. This indicates that the consultation reached both established users and people who do not currently use the centre.</w:t>
      </w:r>
    </w:p>
    <w:tbl>
      <w:tblPr>
        <w:tblW w:w="0" w:type="auto"/>
        <w:jc w:val="center"/>
        <w:tblBorders>
          <w:top w:val="single" w:sz="8" w:space="0" w:color="8B5E16"/>
          <w:left w:val="single" w:sz="8" w:space="0" w:color="8B5E16"/>
          <w:bottom w:val="single" w:sz="8" w:space="0" w:color="8B5E16"/>
          <w:right w:val="single" w:sz="8" w:space="0" w:color="8B5E16"/>
          <w:insideH w:val="single" w:sz="8" w:space="0" w:color="8B5E16"/>
          <w:insideV w:val="single" w:sz="8" w:space="0" w:color="8B5E16"/>
        </w:tblBorders>
        <w:tblLayout w:type="fixed"/>
        <w:tblLook w:val="04A0" w:firstRow="1" w:lastRow="0" w:firstColumn="1" w:lastColumn="0" w:noHBand="0" w:noVBand="1"/>
      </w:tblPr>
      <w:tblGrid>
        <w:gridCol w:w="9972"/>
      </w:tblGrid>
      <w:tr w:rsidR="0064473D" w14:paraId="47DF9284" w14:textId="77777777">
        <w:trPr>
          <w:cantSplit/>
          <w:jc w:val="center"/>
        </w:trPr>
        <w:tc>
          <w:tcPr>
            <w:tcW w:w="9972" w:type="dxa"/>
            <w:shd w:val="clear" w:color="auto" w:fill="FFF4E5"/>
            <w:tcMar>
              <w:top w:w="140" w:type="dxa"/>
              <w:left w:w="170" w:type="dxa"/>
              <w:bottom w:w="140" w:type="dxa"/>
              <w:right w:w="170" w:type="dxa"/>
            </w:tcMar>
          </w:tcPr>
          <w:p w14:paraId="12CC6F89" w14:textId="77777777" w:rsidR="0064473D" w:rsidRDefault="003C3567">
            <w:r>
              <w:rPr>
                <w:rFonts w:ascii="Aptos Display" w:hAnsi="Aptos Display"/>
                <w:b/>
                <w:color w:val="8B5E16"/>
                <w:sz w:val="22"/>
              </w:rPr>
              <w:t>Data-quality point</w:t>
            </w:r>
            <w:r>
              <w:br/>
              <w:t>The survey export states that there were 90 respondents to this question but records 91 selections. The percentages and counts below are therefore reproduced as published and should not be recalculated as though they form a clean single-choice total.</w:t>
            </w:r>
          </w:p>
        </w:tc>
      </w:tr>
    </w:tbl>
    <w:p w14:paraId="6704B12F" w14:textId="77777777" w:rsidR="0064473D" w:rsidRDefault="0064473D">
      <w:pPr>
        <w:spacing w:after="0"/>
      </w:pPr>
    </w:p>
    <w:p w14:paraId="3A0E531B" w14:textId="77777777" w:rsidR="0064473D" w:rsidRDefault="003C3567">
      <w:pPr>
        <w:jc w:val="center"/>
      </w:pPr>
      <w:r>
        <w:rPr>
          <w:noProof/>
        </w:rPr>
        <w:lastRenderedPageBreak/>
        <w:drawing>
          <wp:inline distT="0" distB="0" distL="0" distR="0" wp14:anchorId="65AAB9F0" wp14:editId="61AC0CC5">
            <wp:extent cx="5897880" cy="2830855"/>
            <wp:effectExtent l="0" t="0" r="0" b="0"/>
            <wp:docPr id="1" name="Picture 1" descr="Horizontal bar chart showing weekly 40.00%, monthly 6.67%, occasionally 13.33%, rarely 16.67%, and never 24.44%." title="Frequency of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usage_frequency.png"/>
                    <pic:cNvPicPr/>
                  </pic:nvPicPr>
                  <pic:blipFill>
                    <a:blip r:embed="rId11"/>
                    <a:stretch>
                      <a:fillRect/>
                    </a:stretch>
                  </pic:blipFill>
                  <pic:spPr>
                    <a:xfrm>
                      <a:off x="0" y="0"/>
                      <a:ext cx="5897880" cy="2830855"/>
                    </a:xfrm>
                    <a:prstGeom prst="rect">
                      <a:avLst/>
                    </a:prstGeom>
                  </pic:spPr>
                </pic:pic>
              </a:graphicData>
            </a:graphic>
          </wp:inline>
        </w:drawing>
      </w:r>
    </w:p>
    <w:p w14:paraId="52971663" w14:textId="77777777" w:rsidR="0064473D" w:rsidRDefault="003C3567">
      <w:pPr>
        <w:spacing w:before="20" w:after="140"/>
        <w:jc w:val="center"/>
      </w:pPr>
      <w:r>
        <w:rPr>
          <w:i/>
          <w:color w:val="5B6B70"/>
          <w:sz w:val="16"/>
        </w:rPr>
        <w:t>Figure 1 - Published frequency of use of Baileys Court Activity Centre.</w:t>
      </w:r>
    </w:p>
    <w:p w14:paraId="0942BD2B" w14:textId="77777777" w:rsidR="0064473D" w:rsidRDefault="003C3567">
      <w:pPr>
        <w:pStyle w:val="Heading1"/>
      </w:pPr>
      <w:r>
        <w:t>Assessment of the Existing Facility and Strategic Importance</w:t>
      </w:r>
    </w:p>
    <w:p w14:paraId="605FCEFF" w14:textId="77777777" w:rsidR="0064473D" w:rsidRDefault="003C3567">
      <w:pPr>
        <w:pStyle w:val="BodyText"/>
      </w:pPr>
      <w:r>
        <w:t>Seventy-three respondents scored how well Baileys Court currently meets community needs. The average was 5.36 out of 10, with a median of 5. This is a moderate result rather than evidence that the present building is performing strongly.</w:t>
      </w:r>
    </w:p>
    <w:p w14:paraId="5694E533" w14:textId="77777777" w:rsidR="0064473D" w:rsidRDefault="003C3567">
      <w:pPr>
        <w:pStyle w:val="BodyText"/>
      </w:pPr>
      <w:r>
        <w:t>By contrast, 71 respondents rated the importance of Baileys Court remaining a long-term community facility at an average of 8.72 out of 10, with a median of 10. The difference of 3.36 points between current performance and long-term importance is one of the clearest findings from the consultation: respondents place substantially greater value on the centre’s future role than on its present condition or capability.</w:t>
      </w:r>
    </w:p>
    <w:p w14:paraId="2929CA31" w14:textId="77777777" w:rsidR="0064473D" w:rsidRDefault="003C3567">
      <w:pPr>
        <w:pStyle w:val="BodyText"/>
      </w:pPr>
      <w:r>
        <w:t>The likely effect of improvements was also positive. Respondents gave an average score of 7.94 out of 10 when asked how likely they would be to use Baileys Court more often if improvements were made. The minimum score recorded was 4, meaning that none of the 71 respondents answering this question selected the lowest three points on the scale.</w:t>
      </w:r>
    </w:p>
    <w:p w14:paraId="433E8C86" w14:textId="77777777" w:rsidR="0064473D" w:rsidRDefault="003C3567">
      <w:pPr>
        <w:jc w:val="center"/>
      </w:pPr>
      <w:r>
        <w:rPr>
          <w:noProof/>
        </w:rPr>
        <w:drawing>
          <wp:inline distT="0" distB="0" distL="0" distR="0" wp14:anchorId="2072C094" wp14:editId="6D52AD87">
            <wp:extent cx="5897880" cy="2142888"/>
            <wp:effectExtent l="0" t="0" r="0" b="0"/>
            <wp:docPr id="2" name="Picture 2" descr="Horizontal bar chart comparing current facility score 5.36, importance of long-term retention 8.72, and likelihood of increased use 7.94, each out of 10." title="Average consultation sc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average_scores.png"/>
                    <pic:cNvPicPr/>
                  </pic:nvPicPr>
                  <pic:blipFill>
                    <a:blip r:embed="rId12"/>
                    <a:stretch>
                      <a:fillRect/>
                    </a:stretch>
                  </pic:blipFill>
                  <pic:spPr>
                    <a:xfrm>
                      <a:off x="0" y="0"/>
                      <a:ext cx="5897880" cy="2142888"/>
                    </a:xfrm>
                    <a:prstGeom prst="rect">
                      <a:avLst/>
                    </a:prstGeom>
                  </pic:spPr>
                </pic:pic>
              </a:graphicData>
            </a:graphic>
          </wp:inline>
        </w:drawing>
      </w:r>
    </w:p>
    <w:p w14:paraId="70FDF558" w14:textId="77777777" w:rsidR="005C36C3" w:rsidRDefault="003C3567" w:rsidP="005C36C3">
      <w:pPr>
        <w:spacing w:before="20" w:after="140"/>
        <w:jc w:val="center"/>
        <w:rPr>
          <w:i/>
          <w:color w:val="5B6B70"/>
          <w:sz w:val="16"/>
        </w:rPr>
      </w:pPr>
      <w:r>
        <w:rPr>
          <w:i/>
          <w:color w:val="5B6B70"/>
          <w:sz w:val="16"/>
        </w:rPr>
        <w:t>Figure 2 - Average scores for current performance, strategic importance and likely increased use.</w:t>
      </w:r>
    </w:p>
    <w:p w14:paraId="44314107" w14:textId="390431F9" w:rsidR="0064473D" w:rsidRPr="005C36C3" w:rsidRDefault="003C3567" w:rsidP="00B97729">
      <w:pPr>
        <w:pStyle w:val="Heading1"/>
      </w:pPr>
      <w:r w:rsidRPr="005C36C3">
        <w:t>Priorities for Improvement</w:t>
      </w:r>
    </w:p>
    <w:p w14:paraId="30987A8B" w14:textId="77777777" w:rsidR="0064473D" w:rsidRDefault="003C3567">
      <w:pPr>
        <w:pStyle w:val="BodyText"/>
      </w:pPr>
      <w:r>
        <w:t>Respondents were allowed to select up to five improvements. The strongest preference was for a café or social space, selected by 45 of 71 respondents, or 63.38%. Modern community halls ranked second at 50.70%, followed by improved sports changing rooms at 42.25%, upgraded kitchens at 36.62% and a Changing Places toilet at 33.80%.</w:t>
      </w:r>
    </w:p>
    <w:p w14:paraId="64A1E788" w14:textId="77777777" w:rsidR="0064473D" w:rsidRDefault="003C3567">
      <w:pPr>
        <w:pStyle w:val="BodyText"/>
      </w:pPr>
      <w:r>
        <w:t>The results indicate that respondents are not seeking only a sports refurbishment or only a building-maintenance project. The highest-ranked choices combine broader social and community use with sports, kitchen and accessible-</w:t>
      </w:r>
      <w:r>
        <w:lastRenderedPageBreak/>
        <w:t>facility improvements. Sustainability and energy-efficiency upgrades were selected by 29.58%, while improved external areas and better accessibility facilities were selected by 26.76% and 25.35% respectively.</w:t>
      </w:r>
    </w:p>
    <w:p w14:paraId="323C3FB9" w14:textId="77777777" w:rsidR="0064473D" w:rsidRDefault="003C3567">
      <w:pPr>
        <w:jc w:val="center"/>
      </w:pPr>
      <w:r>
        <w:rPr>
          <w:noProof/>
        </w:rPr>
        <w:drawing>
          <wp:inline distT="0" distB="0" distL="0" distR="0" wp14:anchorId="17D803FD" wp14:editId="551DC2C5">
            <wp:extent cx="5897880" cy="3187388"/>
            <wp:effectExtent l="0" t="0" r="0" b="0"/>
            <wp:docPr id="3" name="Picture 3" descr="Horizontal bar chart ranking twelve proposed improvements, led by café or social space at 63.38%, modern community halls at 50.70%, and improved sports changing rooms at 42.25%." title="Improvement prio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improvement_priorities.png"/>
                    <pic:cNvPicPr/>
                  </pic:nvPicPr>
                  <pic:blipFill>
                    <a:blip r:embed="rId13"/>
                    <a:stretch>
                      <a:fillRect/>
                    </a:stretch>
                  </pic:blipFill>
                  <pic:spPr>
                    <a:xfrm>
                      <a:off x="0" y="0"/>
                      <a:ext cx="5897880" cy="3187388"/>
                    </a:xfrm>
                    <a:prstGeom prst="rect">
                      <a:avLst/>
                    </a:prstGeom>
                  </pic:spPr>
                </pic:pic>
              </a:graphicData>
            </a:graphic>
          </wp:inline>
        </w:drawing>
      </w:r>
    </w:p>
    <w:p w14:paraId="4C656496" w14:textId="77777777" w:rsidR="0064473D" w:rsidRDefault="003C3567">
      <w:pPr>
        <w:spacing w:before="20" w:after="140"/>
        <w:jc w:val="center"/>
      </w:pPr>
      <w:r>
        <w:rPr>
          <w:i/>
          <w:color w:val="5B6B70"/>
          <w:sz w:val="16"/>
        </w:rPr>
        <w:t>Figure 3 - Improvements most frequently selected by respondents.</w:t>
      </w:r>
    </w:p>
    <w:tbl>
      <w:tblPr>
        <w:tblW w:w="0" w:type="auto"/>
        <w:jc w:val="center"/>
        <w:tblBorders>
          <w:top w:val="single" w:sz="4" w:space="0" w:color="B7C7C4"/>
          <w:left w:val="single" w:sz="4" w:space="0" w:color="B7C7C4"/>
          <w:bottom w:val="single" w:sz="4" w:space="0" w:color="B7C7C4"/>
          <w:right w:val="single" w:sz="4" w:space="0" w:color="B7C7C4"/>
          <w:insideH w:val="single" w:sz="4" w:space="0" w:color="B7C7C4"/>
          <w:insideV w:val="single" w:sz="4" w:space="0" w:color="B7C7C4"/>
        </w:tblBorders>
        <w:tblLook w:val="04A0" w:firstRow="1" w:lastRow="0" w:firstColumn="1" w:lastColumn="0" w:noHBand="0" w:noVBand="1"/>
      </w:tblPr>
      <w:tblGrid>
        <w:gridCol w:w="3221"/>
        <w:gridCol w:w="3203"/>
        <w:gridCol w:w="3204"/>
      </w:tblGrid>
      <w:tr w:rsidR="0064473D" w14:paraId="30C47D85" w14:textId="77777777">
        <w:trPr>
          <w:tblHeader/>
          <w:jc w:val="center"/>
        </w:trPr>
        <w:tc>
          <w:tcPr>
            <w:tcW w:w="3324" w:type="dxa"/>
            <w:shd w:val="clear" w:color="auto" w:fill="006B5F"/>
            <w:tcMar>
              <w:top w:w="80" w:type="dxa"/>
              <w:left w:w="90" w:type="dxa"/>
              <w:bottom w:w="80" w:type="dxa"/>
              <w:right w:w="90" w:type="dxa"/>
            </w:tcMar>
            <w:vAlign w:val="center"/>
          </w:tcPr>
          <w:p w14:paraId="68D0BA29" w14:textId="77777777" w:rsidR="0064473D" w:rsidRDefault="003C3567">
            <w:r>
              <w:rPr>
                <w:b/>
                <w:color w:val="FFFFFF"/>
                <w:sz w:val="17"/>
              </w:rPr>
              <w:t>Improvement</w:t>
            </w:r>
          </w:p>
        </w:tc>
        <w:tc>
          <w:tcPr>
            <w:tcW w:w="3324" w:type="dxa"/>
            <w:shd w:val="clear" w:color="auto" w:fill="006B5F"/>
            <w:tcMar>
              <w:top w:w="80" w:type="dxa"/>
              <w:left w:w="90" w:type="dxa"/>
              <w:bottom w:w="80" w:type="dxa"/>
              <w:right w:w="90" w:type="dxa"/>
            </w:tcMar>
            <w:vAlign w:val="center"/>
          </w:tcPr>
          <w:p w14:paraId="2A82B7C6" w14:textId="77777777" w:rsidR="0064473D" w:rsidRDefault="003C3567">
            <w:r>
              <w:rPr>
                <w:b/>
                <w:color w:val="FFFFFF"/>
                <w:sz w:val="17"/>
              </w:rPr>
              <w:t>Responses</w:t>
            </w:r>
          </w:p>
        </w:tc>
        <w:tc>
          <w:tcPr>
            <w:tcW w:w="3324" w:type="dxa"/>
            <w:shd w:val="clear" w:color="auto" w:fill="006B5F"/>
            <w:tcMar>
              <w:top w:w="80" w:type="dxa"/>
              <w:left w:w="90" w:type="dxa"/>
              <w:bottom w:w="80" w:type="dxa"/>
              <w:right w:w="90" w:type="dxa"/>
            </w:tcMar>
            <w:vAlign w:val="center"/>
          </w:tcPr>
          <w:p w14:paraId="73D0EA96" w14:textId="77777777" w:rsidR="0064473D" w:rsidRDefault="003C3567">
            <w:r>
              <w:rPr>
                <w:b/>
                <w:color w:val="FFFFFF"/>
                <w:sz w:val="17"/>
              </w:rPr>
              <w:t>Percentage</w:t>
            </w:r>
          </w:p>
        </w:tc>
      </w:tr>
      <w:tr w:rsidR="0064473D" w14:paraId="6DB15B4C" w14:textId="77777777">
        <w:trPr>
          <w:jc w:val="center"/>
        </w:trPr>
        <w:tc>
          <w:tcPr>
            <w:tcW w:w="3324" w:type="dxa"/>
            <w:tcMar>
              <w:top w:w="80" w:type="dxa"/>
              <w:left w:w="90" w:type="dxa"/>
              <w:bottom w:w="80" w:type="dxa"/>
              <w:right w:w="90" w:type="dxa"/>
            </w:tcMar>
            <w:vAlign w:val="center"/>
          </w:tcPr>
          <w:p w14:paraId="7D10290F" w14:textId="77777777" w:rsidR="0064473D" w:rsidRPr="005C36C3" w:rsidRDefault="003C3567">
            <w:pPr>
              <w:rPr>
                <w:sz w:val="18"/>
                <w:szCs w:val="18"/>
              </w:rPr>
            </w:pPr>
            <w:r w:rsidRPr="005C36C3">
              <w:rPr>
                <w:b/>
                <w:sz w:val="18"/>
                <w:szCs w:val="18"/>
              </w:rPr>
              <w:t>Café / social space</w:t>
            </w:r>
          </w:p>
        </w:tc>
        <w:tc>
          <w:tcPr>
            <w:tcW w:w="3324" w:type="dxa"/>
            <w:tcMar>
              <w:top w:w="80" w:type="dxa"/>
              <w:left w:w="90" w:type="dxa"/>
              <w:bottom w:w="80" w:type="dxa"/>
              <w:right w:w="90" w:type="dxa"/>
            </w:tcMar>
            <w:vAlign w:val="center"/>
          </w:tcPr>
          <w:p w14:paraId="70042B2B" w14:textId="77777777" w:rsidR="0064473D" w:rsidRPr="005C36C3" w:rsidRDefault="003C3567">
            <w:pPr>
              <w:jc w:val="center"/>
              <w:rPr>
                <w:sz w:val="18"/>
                <w:szCs w:val="18"/>
              </w:rPr>
            </w:pPr>
            <w:r w:rsidRPr="005C36C3">
              <w:rPr>
                <w:sz w:val="18"/>
                <w:szCs w:val="18"/>
              </w:rPr>
              <w:t>45</w:t>
            </w:r>
          </w:p>
        </w:tc>
        <w:tc>
          <w:tcPr>
            <w:tcW w:w="3324" w:type="dxa"/>
            <w:tcMar>
              <w:top w:w="80" w:type="dxa"/>
              <w:left w:w="90" w:type="dxa"/>
              <w:bottom w:w="80" w:type="dxa"/>
              <w:right w:w="90" w:type="dxa"/>
            </w:tcMar>
            <w:vAlign w:val="center"/>
          </w:tcPr>
          <w:p w14:paraId="6AF9013C" w14:textId="77777777" w:rsidR="0064473D" w:rsidRPr="005C36C3" w:rsidRDefault="003C3567">
            <w:pPr>
              <w:jc w:val="center"/>
              <w:rPr>
                <w:sz w:val="18"/>
                <w:szCs w:val="18"/>
              </w:rPr>
            </w:pPr>
            <w:r w:rsidRPr="005C36C3">
              <w:rPr>
                <w:sz w:val="18"/>
                <w:szCs w:val="18"/>
              </w:rPr>
              <w:t>63.38%</w:t>
            </w:r>
          </w:p>
        </w:tc>
      </w:tr>
      <w:tr w:rsidR="0064473D" w14:paraId="75D2B144" w14:textId="77777777">
        <w:trPr>
          <w:jc w:val="center"/>
        </w:trPr>
        <w:tc>
          <w:tcPr>
            <w:tcW w:w="3324" w:type="dxa"/>
            <w:tcMar>
              <w:top w:w="80" w:type="dxa"/>
              <w:left w:w="90" w:type="dxa"/>
              <w:bottom w:w="80" w:type="dxa"/>
              <w:right w:w="90" w:type="dxa"/>
            </w:tcMar>
            <w:vAlign w:val="center"/>
          </w:tcPr>
          <w:p w14:paraId="4808603B" w14:textId="77777777" w:rsidR="0064473D" w:rsidRPr="005C36C3" w:rsidRDefault="003C3567">
            <w:pPr>
              <w:rPr>
                <w:sz w:val="18"/>
                <w:szCs w:val="18"/>
              </w:rPr>
            </w:pPr>
            <w:r w:rsidRPr="005C36C3">
              <w:rPr>
                <w:b/>
                <w:sz w:val="18"/>
                <w:szCs w:val="18"/>
              </w:rPr>
              <w:t>Modern community halls</w:t>
            </w:r>
          </w:p>
        </w:tc>
        <w:tc>
          <w:tcPr>
            <w:tcW w:w="3324" w:type="dxa"/>
            <w:tcMar>
              <w:top w:w="80" w:type="dxa"/>
              <w:left w:w="90" w:type="dxa"/>
              <w:bottom w:w="80" w:type="dxa"/>
              <w:right w:w="90" w:type="dxa"/>
            </w:tcMar>
            <w:vAlign w:val="center"/>
          </w:tcPr>
          <w:p w14:paraId="04608763" w14:textId="77777777" w:rsidR="0064473D" w:rsidRPr="005C36C3" w:rsidRDefault="003C3567">
            <w:pPr>
              <w:jc w:val="center"/>
              <w:rPr>
                <w:sz w:val="18"/>
                <w:szCs w:val="18"/>
              </w:rPr>
            </w:pPr>
            <w:r w:rsidRPr="005C36C3">
              <w:rPr>
                <w:sz w:val="18"/>
                <w:szCs w:val="18"/>
              </w:rPr>
              <w:t>36</w:t>
            </w:r>
          </w:p>
        </w:tc>
        <w:tc>
          <w:tcPr>
            <w:tcW w:w="3324" w:type="dxa"/>
            <w:tcMar>
              <w:top w:w="80" w:type="dxa"/>
              <w:left w:w="90" w:type="dxa"/>
              <w:bottom w:w="80" w:type="dxa"/>
              <w:right w:w="90" w:type="dxa"/>
            </w:tcMar>
            <w:vAlign w:val="center"/>
          </w:tcPr>
          <w:p w14:paraId="06368D2D" w14:textId="77777777" w:rsidR="0064473D" w:rsidRPr="005C36C3" w:rsidRDefault="003C3567">
            <w:pPr>
              <w:jc w:val="center"/>
              <w:rPr>
                <w:sz w:val="18"/>
                <w:szCs w:val="18"/>
              </w:rPr>
            </w:pPr>
            <w:r w:rsidRPr="005C36C3">
              <w:rPr>
                <w:sz w:val="18"/>
                <w:szCs w:val="18"/>
              </w:rPr>
              <w:t>50.70%</w:t>
            </w:r>
          </w:p>
        </w:tc>
      </w:tr>
      <w:tr w:rsidR="0064473D" w14:paraId="59F503D7" w14:textId="77777777">
        <w:trPr>
          <w:jc w:val="center"/>
        </w:trPr>
        <w:tc>
          <w:tcPr>
            <w:tcW w:w="3324" w:type="dxa"/>
            <w:tcMar>
              <w:top w:w="80" w:type="dxa"/>
              <w:left w:w="90" w:type="dxa"/>
              <w:bottom w:w="80" w:type="dxa"/>
              <w:right w:w="90" w:type="dxa"/>
            </w:tcMar>
            <w:vAlign w:val="center"/>
          </w:tcPr>
          <w:p w14:paraId="2EE76734" w14:textId="77777777" w:rsidR="0064473D" w:rsidRPr="005C36C3" w:rsidRDefault="003C3567">
            <w:pPr>
              <w:rPr>
                <w:sz w:val="18"/>
                <w:szCs w:val="18"/>
              </w:rPr>
            </w:pPr>
            <w:r w:rsidRPr="005C36C3">
              <w:rPr>
                <w:b/>
                <w:sz w:val="18"/>
                <w:szCs w:val="18"/>
              </w:rPr>
              <w:t>Improved sports changing rooms</w:t>
            </w:r>
          </w:p>
        </w:tc>
        <w:tc>
          <w:tcPr>
            <w:tcW w:w="3324" w:type="dxa"/>
            <w:tcMar>
              <w:top w:w="80" w:type="dxa"/>
              <w:left w:w="90" w:type="dxa"/>
              <w:bottom w:w="80" w:type="dxa"/>
              <w:right w:w="90" w:type="dxa"/>
            </w:tcMar>
            <w:vAlign w:val="center"/>
          </w:tcPr>
          <w:p w14:paraId="7E6F0623" w14:textId="77777777" w:rsidR="0064473D" w:rsidRPr="005C36C3" w:rsidRDefault="003C3567">
            <w:pPr>
              <w:jc w:val="center"/>
              <w:rPr>
                <w:sz w:val="18"/>
                <w:szCs w:val="18"/>
              </w:rPr>
            </w:pPr>
            <w:r w:rsidRPr="005C36C3">
              <w:rPr>
                <w:sz w:val="18"/>
                <w:szCs w:val="18"/>
              </w:rPr>
              <w:t>30</w:t>
            </w:r>
          </w:p>
        </w:tc>
        <w:tc>
          <w:tcPr>
            <w:tcW w:w="3324" w:type="dxa"/>
            <w:tcMar>
              <w:top w:w="80" w:type="dxa"/>
              <w:left w:w="90" w:type="dxa"/>
              <w:bottom w:w="80" w:type="dxa"/>
              <w:right w:w="90" w:type="dxa"/>
            </w:tcMar>
            <w:vAlign w:val="center"/>
          </w:tcPr>
          <w:p w14:paraId="044B5B2A" w14:textId="77777777" w:rsidR="0064473D" w:rsidRPr="005C36C3" w:rsidRDefault="003C3567">
            <w:pPr>
              <w:jc w:val="center"/>
              <w:rPr>
                <w:sz w:val="18"/>
                <w:szCs w:val="18"/>
              </w:rPr>
            </w:pPr>
            <w:r w:rsidRPr="005C36C3">
              <w:rPr>
                <w:sz w:val="18"/>
                <w:szCs w:val="18"/>
              </w:rPr>
              <w:t>42.25%</w:t>
            </w:r>
          </w:p>
        </w:tc>
      </w:tr>
      <w:tr w:rsidR="0064473D" w14:paraId="747C1C79" w14:textId="77777777">
        <w:trPr>
          <w:jc w:val="center"/>
        </w:trPr>
        <w:tc>
          <w:tcPr>
            <w:tcW w:w="3324" w:type="dxa"/>
            <w:tcMar>
              <w:top w:w="80" w:type="dxa"/>
              <w:left w:w="90" w:type="dxa"/>
              <w:bottom w:w="80" w:type="dxa"/>
              <w:right w:w="90" w:type="dxa"/>
            </w:tcMar>
            <w:vAlign w:val="center"/>
          </w:tcPr>
          <w:p w14:paraId="27A1480B" w14:textId="77777777" w:rsidR="0064473D" w:rsidRPr="005C36C3" w:rsidRDefault="003C3567">
            <w:pPr>
              <w:rPr>
                <w:sz w:val="18"/>
                <w:szCs w:val="18"/>
              </w:rPr>
            </w:pPr>
            <w:r w:rsidRPr="005C36C3">
              <w:rPr>
                <w:b/>
                <w:sz w:val="18"/>
                <w:szCs w:val="18"/>
              </w:rPr>
              <w:t>Upgraded kitchens</w:t>
            </w:r>
          </w:p>
        </w:tc>
        <w:tc>
          <w:tcPr>
            <w:tcW w:w="3324" w:type="dxa"/>
            <w:tcMar>
              <w:top w:w="80" w:type="dxa"/>
              <w:left w:w="90" w:type="dxa"/>
              <w:bottom w:w="80" w:type="dxa"/>
              <w:right w:w="90" w:type="dxa"/>
            </w:tcMar>
            <w:vAlign w:val="center"/>
          </w:tcPr>
          <w:p w14:paraId="715587EA" w14:textId="77777777" w:rsidR="0064473D" w:rsidRPr="005C36C3" w:rsidRDefault="003C3567">
            <w:pPr>
              <w:jc w:val="center"/>
              <w:rPr>
                <w:sz w:val="18"/>
                <w:szCs w:val="18"/>
              </w:rPr>
            </w:pPr>
            <w:r w:rsidRPr="005C36C3">
              <w:rPr>
                <w:sz w:val="18"/>
                <w:szCs w:val="18"/>
              </w:rPr>
              <w:t>26</w:t>
            </w:r>
          </w:p>
        </w:tc>
        <w:tc>
          <w:tcPr>
            <w:tcW w:w="3324" w:type="dxa"/>
            <w:tcMar>
              <w:top w:w="80" w:type="dxa"/>
              <w:left w:w="90" w:type="dxa"/>
              <w:bottom w:w="80" w:type="dxa"/>
              <w:right w:w="90" w:type="dxa"/>
            </w:tcMar>
            <w:vAlign w:val="center"/>
          </w:tcPr>
          <w:p w14:paraId="794C0581" w14:textId="77777777" w:rsidR="0064473D" w:rsidRPr="005C36C3" w:rsidRDefault="003C3567">
            <w:pPr>
              <w:jc w:val="center"/>
              <w:rPr>
                <w:sz w:val="18"/>
                <w:szCs w:val="18"/>
              </w:rPr>
            </w:pPr>
            <w:r w:rsidRPr="005C36C3">
              <w:rPr>
                <w:sz w:val="18"/>
                <w:szCs w:val="18"/>
              </w:rPr>
              <w:t>36.62%</w:t>
            </w:r>
          </w:p>
        </w:tc>
      </w:tr>
      <w:tr w:rsidR="0064473D" w14:paraId="30C74471" w14:textId="77777777">
        <w:trPr>
          <w:jc w:val="center"/>
        </w:trPr>
        <w:tc>
          <w:tcPr>
            <w:tcW w:w="3324" w:type="dxa"/>
            <w:tcMar>
              <w:top w:w="80" w:type="dxa"/>
              <w:left w:w="90" w:type="dxa"/>
              <w:bottom w:w="80" w:type="dxa"/>
              <w:right w:w="90" w:type="dxa"/>
            </w:tcMar>
            <w:vAlign w:val="center"/>
          </w:tcPr>
          <w:p w14:paraId="585D3C7A" w14:textId="77777777" w:rsidR="0064473D" w:rsidRPr="005C36C3" w:rsidRDefault="003C3567">
            <w:pPr>
              <w:rPr>
                <w:sz w:val="18"/>
                <w:szCs w:val="18"/>
              </w:rPr>
            </w:pPr>
            <w:r w:rsidRPr="005C36C3">
              <w:rPr>
                <w:b/>
                <w:sz w:val="18"/>
                <w:szCs w:val="18"/>
              </w:rPr>
              <w:t>Changing Places toilet</w:t>
            </w:r>
          </w:p>
        </w:tc>
        <w:tc>
          <w:tcPr>
            <w:tcW w:w="3324" w:type="dxa"/>
            <w:tcMar>
              <w:top w:w="80" w:type="dxa"/>
              <w:left w:w="90" w:type="dxa"/>
              <w:bottom w:w="80" w:type="dxa"/>
              <w:right w:w="90" w:type="dxa"/>
            </w:tcMar>
            <w:vAlign w:val="center"/>
          </w:tcPr>
          <w:p w14:paraId="0BE5EB2A" w14:textId="77777777" w:rsidR="0064473D" w:rsidRPr="005C36C3" w:rsidRDefault="003C3567">
            <w:pPr>
              <w:jc w:val="center"/>
              <w:rPr>
                <w:sz w:val="18"/>
                <w:szCs w:val="18"/>
              </w:rPr>
            </w:pPr>
            <w:r w:rsidRPr="005C36C3">
              <w:rPr>
                <w:sz w:val="18"/>
                <w:szCs w:val="18"/>
              </w:rPr>
              <w:t>24</w:t>
            </w:r>
          </w:p>
        </w:tc>
        <w:tc>
          <w:tcPr>
            <w:tcW w:w="3324" w:type="dxa"/>
            <w:tcMar>
              <w:top w:w="80" w:type="dxa"/>
              <w:left w:w="90" w:type="dxa"/>
              <w:bottom w:w="80" w:type="dxa"/>
              <w:right w:w="90" w:type="dxa"/>
            </w:tcMar>
            <w:vAlign w:val="center"/>
          </w:tcPr>
          <w:p w14:paraId="0E7B71BE" w14:textId="77777777" w:rsidR="0064473D" w:rsidRPr="005C36C3" w:rsidRDefault="003C3567">
            <w:pPr>
              <w:jc w:val="center"/>
              <w:rPr>
                <w:sz w:val="18"/>
                <w:szCs w:val="18"/>
              </w:rPr>
            </w:pPr>
            <w:r w:rsidRPr="005C36C3">
              <w:rPr>
                <w:sz w:val="18"/>
                <w:szCs w:val="18"/>
              </w:rPr>
              <w:t>33.80%</w:t>
            </w:r>
          </w:p>
        </w:tc>
      </w:tr>
      <w:tr w:rsidR="0064473D" w14:paraId="52D79413" w14:textId="77777777">
        <w:trPr>
          <w:jc w:val="center"/>
        </w:trPr>
        <w:tc>
          <w:tcPr>
            <w:tcW w:w="3324" w:type="dxa"/>
            <w:tcMar>
              <w:top w:w="80" w:type="dxa"/>
              <w:left w:w="90" w:type="dxa"/>
              <w:bottom w:w="80" w:type="dxa"/>
              <w:right w:w="90" w:type="dxa"/>
            </w:tcMar>
            <w:vAlign w:val="center"/>
          </w:tcPr>
          <w:p w14:paraId="6799624A" w14:textId="77777777" w:rsidR="0064473D" w:rsidRPr="005C36C3" w:rsidRDefault="003C3567">
            <w:pPr>
              <w:rPr>
                <w:sz w:val="18"/>
                <w:szCs w:val="18"/>
              </w:rPr>
            </w:pPr>
            <w:r w:rsidRPr="005C36C3">
              <w:rPr>
                <w:b/>
                <w:sz w:val="18"/>
                <w:szCs w:val="18"/>
              </w:rPr>
              <w:t>Sustainability and energy efficiency</w:t>
            </w:r>
          </w:p>
        </w:tc>
        <w:tc>
          <w:tcPr>
            <w:tcW w:w="3324" w:type="dxa"/>
            <w:tcMar>
              <w:top w:w="80" w:type="dxa"/>
              <w:left w:w="90" w:type="dxa"/>
              <w:bottom w:w="80" w:type="dxa"/>
              <w:right w:w="90" w:type="dxa"/>
            </w:tcMar>
            <w:vAlign w:val="center"/>
          </w:tcPr>
          <w:p w14:paraId="025C966A" w14:textId="77777777" w:rsidR="0064473D" w:rsidRPr="005C36C3" w:rsidRDefault="003C3567">
            <w:pPr>
              <w:jc w:val="center"/>
              <w:rPr>
                <w:sz w:val="18"/>
                <w:szCs w:val="18"/>
              </w:rPr>
            </w:pPr>
            <w:r w:rsidRPr="005C36C3">
              <w:rPr>
                <w:sz w:val="18"/>
                <w:szCs w:val="18"/>
              </w:rPr>
              <w:t>21</w:t>
            </w:r>
          </w:p>
        </w:tc>
        <w:tc>
          <w:tcPr>
            <w:tcW w:w="3324" w:type="dxa"/>
            <w:tcMar>
              <w:top w:w="80" w:type="dxa"/>
              <w:left w:w="90" w:type="dxa"/>
              <w:bottom w:w="80" w:type="dxa"/>
              <w:right w:w="90" w:type="dxa"/>
            </w:tcMar>
            <w:vAlign w:val="center"/>
          </w:tcPr>
          <w:p w14:paraId="350318B4" w14:textId="77777777" w:rsidR="0064473D" w:rsidRPr="005C36C3" w:rsidRDefault="003C3567">
            <w:pPr>
              <w:jc w:val="center"/>
              <w:rPr>
                <w:sz w:val="18"/>
                <w:szCs w:val="18"/>
              </w:rPr>
            </w:pPr>
            <w:r w:rsidRPr="005C36C3">
              <w:rPr>
                <w:sz w:val="18"/>
                <w:szCs w:val="18"/>
              </w:rPr>
              <w:t>29.58%</w:t>
            </w:r>
          </w:p>
        </w:tc>
      </w:tr>
      <w:tr w:rsidR="0064473D" w14:paraId="0AD92AA9" w14:textId="77777777">
        <w:trPr>
          <w:jc w:val="center"/>
        </w:trPr>
        <w:tc>
          <w:tcPr>
            <w:tcW w:w="3324" w:type="dxa"/>
            <w:tcMar>
              <w:top w:w="80" w:type="dxa"/>
              <w:left w:w="90" w:type="dxa"/>
              <w:bottom w:w="80" w:type="dxa"/>
              <w:right w:w="90" w:type="dxa"/>
            </w:tcMar>
            <w:vAlign w:val="center"/>
          </w:tcPr>
          <w:p w14:paraId="33586FD9" w14:textId="77777777" w:rsidR="0064473D" w:rsidRPr="005C36C3" w:rsidRDefault="003C3567">
            <w:pPr>
              <w:rPr>
                <w:sz w:val="18"/>
                <w:szCs w:val="18"/>
              </w:rPr>
            </w:pPr>
            <w:r w:rsidRPr="005C36C3">
              <w:rPr>
                <w:b/>
                <w:sz w:val="18"/>
                <w:szCs w:val="18"/>
              </w:rPr>
              <w:t>Improved external areas</w:t>
            </w:r>
          </w:p>
        </w:tc>
        <w:tc>
          <w:tcPr>
            <w:tcW w:w="3324" w:type="dxa"/>
            <w:tcMar>
              <w:top w:w="80" w:type="dxa"/>
              <w:left w:w="90" w:type="dxa"/>
              <w:bottom w:w="80" w:type="dxa"/>
              <w:right w:w="90" w:type="dxa"/>
            </w:tcMar>
            <w:vAlign w:val="center"/>
          </w:tcPr>
          <w:p w14:paraId="62C7B497" w14:textId="77777777" w:rsidR="0064473D" w:rsidRPr="005C36C3" w:rsidRDefault="003C3567">
            <w:pPr>
              <w:jc w:val="center"/>
              <w:rPr>
                <w:sz w:val="18"/>
                <w:szCs w:val="18"/>
              </w:rPr>
            </w:pPr>
            <w:r w:rsidRPr="005C36C3">
              <w:rPr>
                <w:sz w:val="18"/>
                <w:szCs w:val="18"/>
              </w:rPr>
              <w:t>19</w:t>
            </w:r>
          </w:p>
        </w:tc>
        <w:tc>
          <w:tcPr>
            <w:tcW w:w="3324" w:type="dxa"/>
            <w:tcMar>
              <w:top w:w="80" w:type="dxa"/>
              <w:left w:w="90" w:type="dxa"/>
              <w:bottom w:w="80" w:type="dxa"/>
              <w:right w:w="90" w:type="dxa"/>
            </w:tcMar>
            <w:vAlign w:val="center"/>
          </w:tcPr>
          <w:p w14:paraId="2268001D" w14:textId="77777777" w:rsidR="0064473D" w:rsidRPr="005C36C3" w:rsidRDefault="003C3567">
            <w:pPr>
              <w:jc w:val="center"/>
              <w:rPr>
                <w:sz w:val="18"/>
                <w:szCs w:val="18"/>
              </w:rPr>
            </w:pPr>
            <w:r w:rsidRPr="005C36C3">
              <w:rPr>
                <w:sz w:val="18"/>
                <w:szCs w:val="18"/>
              </w:rPr>
              <w:t>26.76%</w:t>
            </w:r>
          </w:p>
        </w:tc>
      </w:tr>
      <w:tr w:rsidR="0064473D" w14:paraId="30346811" w14:textId="77777777">
        <w:trPr>
          <w:jc w:val="center"/>
        </w:trPr>
        <w:tc>
          <w:tcPr>
            <w:tcW w:w="3324" w:type="dxa"/>
            <w:tcMar>
              <w:top w:w="80" w:type="dxa"/>
              <w:left w:w="90" w:type="dxa"/>
              <w:bottom w:w="80" w:type="dxa"/>
              <w:right w:w="90" w:type="dxa"/>
            </w:tcMar>
            <w:vAlign w:val="center"/>
          </w:tcPr>
          <w:p w14:paraId="48464BDE" w14:textId="77777777" w:rsidR="0064473D" w:rsidRPr="005C36C3" w:rsidRDefault="003C3567">
            <w:pPr>
              <w:rPr>
                <w:sz w:val="18"/>
                <w:szCs w:val="18"/>
              </w:rPr>
            </w:pPr>
            <w:r w:rsidRPr="005C36C3">
              <w:rPr>
                <w:b/>
                <w:sz w:val="18"/>
                <w:szCs w:val="18"/>
              </w:rPr>
              <w:t>Better accessibility facilities</w:t>
            </w:r>
          </w:p>
        </w:tc>
        <w:tc>
          <w:tcPr>
            <w:tcW w:w="3324" w:type="dxa"/>
            <w:tcMar>
              <w:top w:w="80" w:type="dxa"/>
              <w:left w:w="90" w:type="dxa"/>
              <w:bottom w:w="80" w:type="dxa"/>
              <w:right w:w="90" w:type="dxa"/>
            </w:tcMar>
            <w:vAlign w:val="center"/>
          </w:tcPr>
          <w:p w14:paraId="4BD95F83" w14:textId="77777777" w:rsidR="0064473D" w:rsidRPr="005C36C3" w:rsidRDefault="003C3567">
            <w:pPr>
              <w:jc w:val="center"/>
              <w:rPr>
                <w:sz w:val="18"/>
                <w:szCs w:val="18"/>
              </w:rPr>
            </w:pPr>
            <w:r w:rsidRPr="005C36C3">
              <w:rPr>
                <w:sz w:val="18"/>
                <w:szCs w:val="18"/>
              </w:rPr>
              <w:t>18</w:t>
            </w:r>
          </w:p>
        </w:tc>
        <w:tc>
          <w:tcPr>
            <w:tcW w:w="3324" w:type="dxa"/>
            <w:tcMar>
              <w:top w:w="80" w:type="dxa"/>
              <w:left w:w="90" w:type="dxa"/>
              <w:bottom w:w="80" w:type="dxa"/>
              <w:right w:w="90" w:type="dxa"/>
            </w:tcMar>
            <w:vAlign w:val="center"/>
          </w:tcPr>
          <w:p w14:paraId="6D31F296" w14:textId="77777777" w:rsidR="0064473D" w:rsidRPr="005C36C3" w:rsidRDefault="003C3567">
            <w:pPr>
              <w:jc w:val="center"/>
              <w:rPr>
                <w:sz w:val="18"/>
                <w:szCs w:val="18"/>
              </w:rPr>
            </w:pPr>
            <w:r w:rsidRPr="005C36C3">
              <w:rPr>
                <w:sz w:val="18"/>
                <w:szCs w:val="18"/>
              </w:rPr>
              <w:t>25.35%</w:t>
            </w:r>
          </w:p>
        </w:tc>
      </w:tr>
      <w:tr w:rsidR="0064473D" w14:paraId="5923FD9F" w14:textId="77777777">
        <w:trPr>
          <w:jc w:val="center"/>
        </w:trPr>
        <w:tc>
          <w:tcPr>
            <w:tcW w:w="3324" w:type="dxa"/>
            <w:tcMar>
              <w:top w:w="80" w:type="dxa"/>
              <w:left w:w="90" w:type="dxa"/>
              <w:bottom w:w="80" w:type="dxa"/>
              <w:right w:w="90" w:type="dxa"/>
            </w:tcMar>
            <w:vAlign w:val="center"/>
          </w:tcPr>
          <w:p w14:paraId="65892C84" w14:textId="77777777" w:rsidR="0064473D" w:rsidRPr="005C36C3" w:rsidRDefault="003C3567">
            <w:pPr>
              <w:rPr>
                <w:sz w:val="18"/>
                <w:szCs w:val="18"/>
              </w:rPr>
            </w:pPr>
            <w:r w:rsidRPr="005C36C3">
              <w:rPr>
                <w:b/>
                <w:sz w:val="18"/>
                <w:szCs w:val="18"/>
              </w:rPr>
              <w:t>Improved appearance</w:t>
            </w:r>
          </w:p>
        </w:tc>
        <w:tc>
          <w:tcPr>
            <w:tcW w:w="3324" w:type="dxa"/>
            <w:tcMar>
              <w:top w:w="80" w:type="dxa"/>
              <w:left w:w="90" w:type="dxa"/>
              <w:bottom w:w="80" w:type="dxa"/>
              <w:right w:w="90" w:type="dxa"/>
            </w:tcMar>
            <w:vAlign w:val="center"/>
          </w:tcPr>
          <w:p w14:paraId="5A7DA3B6" w14:textId="77777777" w:rsidR="0064473D" w:rsidRPr="005C36C3" w:rsidRDefault="003C3567">
            <w:pPr>
              <w:jc w:val="center"/>
              <w:rPr>
                <w:sz w:val="18"/>
                <w:szCs w:val="18"/>
              </w:rPr>
            </w:pPr>
            <w:r w:rsidRPr="005C36C3">
              <w:rPr>
                <w:sz w:val="18"/>
                <w:szCs w:val="18"/>
              </w:rPr>
              <w:t>14</w:t>
            </w:r>
          </w:p>
        </w:tc>
        <w:tc>
          <w:tcPr>
            <w:tcW w:w="3324" w:type="dxa"/>
            <w:tcMar>
              <w:top w:w="80" w:type="dxa"/>
              <w:left w:w="90" w:type="dxa"/>
              <w:bottom w:w="80" w:type="dxa"/>
              <w:right w:w="90" w:type="dxa"/>
            </w:tcMar>
            <w:vAlign w:val="center"/>
          </w:tcPr>
          <w:p w14:paraId="20FE5C34" w14:textId="77777777" w:rsidR="0064473D" w:rsidRPr="005C36C3" w:rsidRDefault="003C3567">
            <w:pPr>
              <w:jc w:val="center"/>
              <w:rPr>
                <w:sz w:val="18"/>
                <w:szCs w:val="18"/>
              </w:rPr>
            </w:pPr>
            <w:r w:rsidRPr="005C36C3">
              <w:rPr>
                <w:sz w:val="18"/>
                <w:szCs w:val="18"/>
              </w:rPr>
              <w:t>19.72%</w:t>
            </w:r>
          </w:p>
        </w:tc>
      </w:tr>
      <w:tr w:rsidR="0064473D" w14:paraId="4C2AAD45" w14:textId="77777777">
        <w:trPr>
          <w:jc w:val="center"/>
        </w:trPr>
        <w:tc>
          <w:tcPr>
            <w:tcW w:w="3324" w:type="dxa"/>
            <w:tcMar>
              <w:top w:w="80" w:type="dxa"/>
              <w:left w:w="90" w:type="dxa"/>
              <w:bottom w:w="80" w:type="dxa"/>
              <w:right w:w="90" w:type="dxa"/>
            </w:tcMar>
            <w:vAlign w:val="center"/>
          </w:tcPr>
          <w:p w14:paraId="54C5A895" w14:textId="77777777" w:rsidR="0064473D" w:rsidRPr="005C36C3" w:rsidRDefault="003C3567">
            <w:pPr>
              <w:rPr>
                <w:sz w:val="18"/>
                <w:szCs w:val="18"/>
              </w:rPr>
            </w:pPr>
            <w:r w:rsidRPr="005C36C3">
              <w:rPr>
                <w:b/>
                <w:sz w:val="18"/>
                <w:szCs w:val="18"/>
              </w:rPr>
              <w:t>Other</w:t>
            </w:r>
          </w:p>
        </w:tc>
        <w:tc>
          <w:tcPr>
            <w:tcW w:w="3324" w:type="dxa"/>
            <w:tcMar>
              <w:top w:w="80" w:type="dxa"/>
              <w:left w:w="90" w:type="dxa"/>
              <w:bottom w:w="80" w:type="dxa"/>
              <w:right w:w="90" w:type="dxa"/>
            </w:tcMar>
            <w:vAlign w:val="center"/>
          </w:tcPr>
          <w:p w14:paraId="3DE14494" w14:textId="77777777" w:rsidR="0064473D" w:rsidRPr="005C36C3" w:rsidRDefault="003C3567">
            <w:pPr>
              <w:jc w:val="center"/>
              <w:rPr>
                <w:sz w:val="18"/>
                <w:szCs w:val="18"/>
              </w:rPr>
            </w:pPr>
            <w:r w:rsidRPr="005C36C3">
              <w:rPr>
                <w:sz w:val="18"/>
                <w:szCs w:val="18"/>
              </w:rPr>
              <w:t>13</w:t>
            </w:r>
          </w:p>
        </w:tc>
        <w:tc>
          <w:tcPr>
            <w:tcW w:w="3324" w:type="dxa"/>
            <w:tcMar>
              <w:top w:w="80" w:type="dxa"/>
              <w:left w:w="90" w:type="dxa"/>
              <w:bottom w:w="80" w:type="dxa"/>
              <w:right w:w="90" w:type="dxa"/>
            </w:tcMar>
            <w:vAlign w:val="center"/>
          </w:tcPr>
          <w:p w14:paraId="0610C38D" w14:textId="77777777" w:rsidR="0064473D" w:rsidRPr="005C36C3" w:rsidRDefault="003C3567">
            <w:pPr>
              <w:jc w:val="center"/>
              <w:rPr>
                <w:sz w:val="18"/>
                <w:szCs w:val="18"/>
              </w:rPr>
            </w:pPr>
            <w:r w:rsidRPr="005C36C3">
              <w:rPr>
                <w:sz w:val="18"/>
                <w:szCs w:val="18"/>
              </w:rPr>
              <w:t>18.31%</w:t>
            </w:r>
          </w:p>
        </w:tc>
      </w:tr>
      <w:tr w:rsidR="0064473D" w14:paraId="1D512B96" w14:textId="77777777">
        <w:trPr>
          <w:jc w:val="center"/>
        </w:trPr>
        <w:tc>
          <w:tcPr>
            <w:tcW w:w="3324" w:type="dxa"/>
            <w:tcMar>
              <w:top w:w="80" w:type="dxa"/>
              <w:left w:w="90" w:type="dxa"/>
              <w:bottom w:w="80" w:type="dxa"/>
              <w:right w:w="90" w:type="dxa"/>
            </w:tcMar>
            <w:vAlign w:val="center"/>
          </w:tcPr>
          <w:p w14:paraId="1C4620FC" w14:textId="77777777" w:rsidR="0064473D" w:rsidRPr="005C36C3" w:rsidRDefault="003C3567">
            <w:pPr>
              <w:rPr>
                <w:sz w:val="18"/>
                <w:szCs w:val="18"/>
              </w:rPr>
            </w:pPr>
            <w:r w:rsidRPr="005C36C3">
              <w:rPr>
                <w:b/>
                <w:sz w:val="18"/>
                <w:szCs w:val="18"/>
              </w:rPr>
              <w:t>Nursery / childcare improvements</w:t>
            </w:r>
          </w:p>
        </w:tc>
        <w:tc>
          <w:tcPr>
            <w:tcW w:w="3324" w:type="dxa"/>
            <w:tcMar>
              <w:top w:w="80" w:type="dxa"/>
              <w:left w:w="90" w:type="dxa"/>
              <w:bottom w:w="80" w:type="dxa"/>
              <w:right w:w="90" w:type="dxa"/>
            </w:tcMar>
            <w:vAlign w:val="center"/>
          </w:tcPr>
          <w:p w14:paraId="496C331F" w14:textId="77777777" w:rsidR="0064473D" w:rsidRPr="005C36C3" w:rsidRDefault="003C3567">
            <w:pPr>
              <w:jc w:val="center"/>
              <w:rPr>
                <w:sz w:val="18"/>
                <w:szCs w:val="18"/>
              </w:rPr>
            </w:pPr>
            <w:r w:rsidRPr="005C36C3">
              <w:rPr>
                <w:sz w:val="18"/>
                <w:szCs w:val="18"/>
              </w:rPr>
              <w:t>12</w:t>
            </w:r>
          </w:p>
        </w:tc>
        <w:tc>
          <w:tcPr>
            <w:tcW w:w="3324" w:type="dxa"/>
            <w:tcMar>
              <w:top w:w="80" w:type="dxa"/>
              <w:left w:w="90" w:type="dxa"/>
              <w:bottom w:w="80" w:type="dxa"/>
              <w:right w:w="90" w:type="dxa"/>
            </w:tcMar>
            <w:vAlign w:val="center"/>
          </w:tcPr>
          <w:p w14:paraId="56F2025A" w14:textId="77777777" w:rsidR="0064473D" w:rsidRPr="005C36C3" w:rsidRDefault="003C3567">
            <w:pPr>
              <w:jc w:val="center"/>
              <w:rPr>
                <w:sz w:val="18"/>
                <w:szCs w:val="18"/>
              </w:rPr>
            </w:pPr>
            <w:r w:rsidRPr="005C36C3">
              <w:rPr>
                <w:sz w:val="18"/>
                <w:szCs w:val="18"/>
              </w:rPr>
              <w:t>16.90%</w:t>
            </w:r>
          </w:p>
        </w:tc>
      </w:tr>
      <w:tr w:rsidR="0064473D" w14:paraId="3399A1C1" w14:textId="77777777">
        <w:trPr>
          <w:jc w:val="center"/>
        </w:trPr>
        <w:tc>
          <w:tcPr>
            <w:tcW w:w="3324" w:type="dxa"/>
            <w:tcMar>
              <w:top w:w="80" w:type="dxa"/>
              <w:left w:w="90" w:type="dxa"/>
              <w:bottom w:w="80" w:type="dxa"/>
              <w:right w:w="90" w:type="dxa"/>
            </w:tcMar>
            <w:vAlign w:val="center"/>
          </w:tcPr>
          <w:p w14:paraId="4E01DAC1" w14:textId="77777777" w:rsidR="0064473D" w:rsidRPr="005C36C3" w:rsidRDefault="003C3567">
            <w:pPr>
              <w:rPr>
                <w:sz w:val="18"/>
                <w:szCs w:val="18"/>
              </w:rPr>
            </w:pPr>
            <w:r w:rsidRPr="005C36C3">
              <w:rPr>
                <w:b/>
                <w:sz w:val="18"/>
                <w:szCs w:val="18"/>
              </w:rPr>
              <w:t>More storage</w:t>
            </w:r>
          </w:p>
        </w:tc>
        <w:tc>
          <w:tcPr>
            <w:tcW w:w="3324" w:type="dxa"/>
            <w:tcMar>
              <w:top w:w="80" w:type="dxa"/>
              <w:left w:w="90" w:type="dxa"/>
              <w:bottom w:w="80" w:type="dxa"/>
              <w:right w:w="90" w:type="dxa"/>
            </w:tcMar>
            <w:vAlign w:val="center"/>
          </w:tcPr>
          <w:p w14:paraId="3831FFF8" w14:textId="77777777" w:rsidR="0064473D" w:rsidRPr="005C36C3" w:rsidRDefault="003C3567">
            <w:pPr>
              <w:jc w:val="center"/>
              <w:rPr>
                <w:sz w:val="18"/>
                <w:szCs w:val="18"/>
              </w:rPr>
            </w:pPr>
            <w:r w:rsidRPr="005C36C3">
              <w:rPr>
                <w:sz w:val="18"/>
                <w:szCs w:val="18"/>
              </w:rPr>
              <w:t>9</w:t>
            </w:r>
          </w:p>
        </w:tc>
        <w:tc>
          <w:tcPr>
            <w:tcW w:w="3324" w:type="dxa"/>
            <w:tcMar>
              <w:top w:w="80" w:type="dxa"/>
              <w:left w:w="90" w:type="dxa"/>
              <w:bottom w:w="80" w:type="dxa"/>
              <w:right w:w="90" w:type="dxa"/>
            </w:tcMar>
            <w:vAlign w:val="center"/>
          </w:tcPr>
          <w:p w14:paraId="7135AF79" w14:textId="77777777" w:rsidR="0064473D" w:rsidRPr="005C36C3" w:rsidRDefault="003C3567">
            <w:pPr>
              <w:jc w:val="center"/>
              <w:rPr>
                <w:sz w:val="18"/>
                <w:szCs w:val="18"/>
              </w:rPr>
            </w:pPr>
            <w:r w:rsidRPr="005C36C3">
              <w:rPr>
                <w:sz w:val="18"/>
                <w:szCs w:val="18"/>
              </w:rPr>
              <w:t>12.68%</w:t>
            </w:r>
          </w:p>
        </w:tc>
      </w:tr>
    </w:tbl>
    <w:p w14:paraId="399CED62" w14:textId="7DA295D3" w:rsidR="0064473D" w:rsidRPr="005C36C3" w:rsidRDefault="003C3567" w:rsidP="006B5A3A">
      <w:pPr>
        <w:pStyle w:val="Heading1"/>
      </w:pPr>
      <w:r w:rsidRPr="005C36C3">
        <w:t>Funding Preferences</w:t>
      </w:r>
    </w:p>
    <w:p w14:paraId="544BA8E2" w14:textId="77777777" w:rsidR="0064473D" w:rsidRDefault="003C3567">
      <w:pPr>
        <w:pStyle w:val="BodyText"/>
      </w:pPr>
      <w:r>
        <w:t>The funding question was answered by 64 respondents, equivalent to 71.11% of the full consultation sample. It asked respondents to assume that external funding would meet approximately 60% of the project cost and that the remaining balance would be about £640,000. These were consultation assumptions and this report does not validate them as a current project budget or confirmed grant position.</w:t>
      </w:r>
    </w:p>
    <w:p w14:paraId="759ACF99" w14:textId="77777777" w:rsidR="0064473D" w:rsidRDefault="003C3567">
      <w:pPr>
        <w:pStyle w:val="BodyText"/>
      </w:pPr>
      <w:r>
        <w:t>No preference was the largest individual response at 29.69%. A one-off precept increase for one year was selected by 18.75%. Borrowing over 5, 10, 20 or 40 years was selected by a combined 37.51%, but support was divided across the terms. Fourteen per cent did not support the project proceeding. Overall, 56.26% selected one of the specific funding routes presented, but no individual route secured majority support.</w:t>
      </w:r>
    </w:p>
    <w:p w14:paraId="4F1B1731" w14:textId="77777777" w:rsidR="0064473D" w:rsidRDefault="003C3567">
      <w:pPr>
        <w:jc w:val="center"/>
      </w:pPr>
      <w:r>
        <w:rPr>
          <w:noProof/>
        </w:rPr>
        <w:drawing>
          <wp:inline distT="0" distB="0" distL="0" distR="0" wp14:anchorId="71C5F2CE" wp14:editId="5200B09C">
            <wp:extent cx="5897880" cy="2673373"/>
            <wp:effectExtent l="0" t="0" r="0" b="0"/>
            <wp:docPr id="4" name="Picture 4" descr="Horizontal bar chart showing no preference 29.69%, one-off precept increase 18.75%, do not support proceeding 14.06%, and smaller shares for borrowing terms." title="Funding prefer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funding_preferences.png"/>
                    <pic:cNvPicPr/>
                  </pic:nvPicPr>
                  <pic:blipFill>
                    <a:blip r:embed="rId14"/>
                    <a:stretch>
                      <a:fillRect/>
                    </a:stretch>
                  </pic:blipFill>
                  <pic:spPr>
                    <a:xfrm>
                      <a:off x="0" y="0"/>
                      <a:ext cx="5897880" cy="2673373"/>
                    </a:xfrm>
                    <a:prstGeom prst="rect">
                      <a:avLst/>
                    </a:prstGeom>
                  </pic:spPr>
                </pic:pic>
              </a:graphicData>
            </a:graphic>
          </wp:inline>
        </w:drawing>
      </w:r>
    </w:p>
    <w:p w14:paraId="390A3572" w14:textId="77777777" w:rsidR="005C36C3" w:rsidRDefault="003C3567" w:rsidP="005C36C3">
      <w:pPr>
        <w:spacing w:before="20" w:after="140"/>
        <w:jc w:val="center"/>
        <w:rPr>
          <w:i/>
          <w:color w:val="5B6B70"/>
          <w:sz w:val="16"/>
        </w:rPr>
      </w:pPr>
      <w:r>
        <w:rPr>
          <w:i/>
          <w:color w:val="5B6B70"/>
          <w:sz w:val="16"/>
        </w:rPr>
        <w:t>Figure 4 - Preferred funding approach for the consultation’s assumed £640,000 balance.</w:t>
      </w:r>
    </w:p>
    <w:p w14:paraId="391A9D8F" w14:textId="0B4389CD" w:rsidR="0064473D" w:rsidRPr="005C36C3" w:rsidRDefault="003C3567" w:rsidP="006B5A3A">
      <w:pPr>
        <w:pStyle w:val="Heading1"/>
      </w:pPr>
      <w:r w:rsidRPr="005C36C3">
        <w:t>Borrowing Period and Interest</w:t>
      </w:r>
    </w:p>
    <w:p w14:paraId="4D1B3776" w14:textId="77777777" w:rsidR="0064473D" w:rsidRDefault="003C3567">
      <w:pPr>
        <w:pStyle w:val="BodyText"/>
      </w:pPr>
      <w:r>
        <w:t>When respondents were asked which borrowing period would be most acceptable if borrowing were required, 5 years and 20 years were tied at 23.44% each, followed by 10 years at 18.75%. Only one respondent selected 30 years, none selected 40 years and two selected 50 years. Nineteen respondents, or 29.69%, selected none of the above. This does not create a clear preferred loan term, although 65.63% of all respondents to the question selected a period between 5 and 20 years.</w:t>
      </w:r>
    </w:p>
    <w:p w14:paraId="282B92C5" w14:textId="77777777" w:rsidR="0064473D" w:rsidRDefault="003C3567">
      <w:pPr>
        <w:pStyle w:val="BodyText"/>
      </w:pPr>
      <w:r>
        <w:t>Minimising total interest was important to a clear majority. Of 64 respondents, 40.63% said it was extremely important and 23.44% said very important. A further 15.63% said somewhat important. Taken together, 79.70% considered minimising lifetime interest at least somewhat important, including 64.07% who considered it very or extremely important.</w:t>
      </w:r>
    </w:p>
    <w:tbl>
      <w:tblPr>
        <w:tblW w:w="0" w:type="auto"/>
        <w:jc w:val="center"/>
        <w:tblBorders>
          <w:top w:val="single" w:sz="4" w:space="0" w:color="B7C7C4"/>
          <w:left w:val="single" w:sz="4" w:space="0" w:color="B7C7C4"/>
          <w:bottom w:val="single" w:sz="4" w:space="0" w:color="B7C7C4"/>
          <w:right w:val="single" w:sz="4" w:space="0" w:color="B7C7C4"/>
          <w:insideH w:val="single" w:sz="4" w:space="0" w:color="B7C7C4"/>
          <w:insideV w:val="single" w:sz="4" w:space="0" w:color="B7C7C4"/>
        </w:tblBorders>
        <w:tblLook w:val="04A0" w:firstRow="1" w:lastRow="0" w:firstColumn="1" w:lastColumn="0" w:noHBand="0" w:noVBand="1"/>
      </w:tblPr>
      <w:tblGrid>
        <w:gridCol w:w="2411"/>
        <w:gridCol w:w="2400"/>
        <w:gridCol w:w="2400"/>
        <w:gridCol w:w="2417"/>
      </w:tblGrid>
      <w:tr w:rsidR="0064473D" w14:paraId="54AE57C4" w14:textId="77777777">
        <w:trPr>
          <w:jc w:val="center"/>
        </w:trPr>
        <w:tc>
          <w:tcPr>
            <w:tcW w:w="2493" w:type="dxa"/>
            <w:shd w:val="clear" w:color="auto" w:fill="006B5F"/>
            <w:tcMar>
              <w:top w:w="80" w:type="dxa"/>
              <w:left w:w="90" w:type="dxa"/>
              <w:bottom w:w="80" w:type="dxa"/>
              <w:right w:w="90" w:type="dxa"/>
            </w:tcMar>
            <w:vAlign w:val="center"/>
          </w:tcPr>
          <w:p w14:paraId="2AAA4E6F" w14:textId="77777777" w:rsidR="0064473D" w:rsidRDefault="003C3567">
            <w:r>
              <w:rPr>
                <w:b/>
                <w:color w:val="FFFFFF"/>
                <w:sz w:val="16"/>
              </w:rPr>
              <w:t>Measure</w:t>
            </w:r>
          </w:p>
        </w:tc>
        <w:tc>
          <w:tcPr>
            <w:tcW w:w="2493" w:type="dxa"/>
            <w:shd w:val="clear" w:color="auto" w:fill="006B5F"/>
            <w:tcMar>
              <w:top w:w="80" w:type="dxa"/>
              <w:left w:w="90" w:type="dxa"/>
              <w:bottom w:w="80" w:type="dxa"/>
              <w:right w:w="90" w:type="dxa"/>
            </w:tcMar>
            <w:vAlign w:val="center"/>
          </w:tcPr>
          <w:p w14:paraId="628FBB02" w14:textId="77777777" w:rsidR="0064473D" w:rsidRDefault="003C3567">
            <w:r>
              <w:rPr>
                <w:b/>
                <w:color w:val="FFFFFF"/>
                <w:sz w:val="16"/>
              </w:rPr>
              <w:t>Leading responses</w:t>
            </w:r>
          </w:p>
        </w:tc>
        <w:tc>
          <w:tcPr>
            <w:tcW w:w="2493" w:type="dxa"/>
            <w:shd w:val="clear" w:color="auto" w:fill="006B5F"/>
            <w:tcMar>
              <w:top w:w="80" w:type="dxa"/>
              <w:left w:w="90" w:type="dxa"/>
              <w:bottom w:w="80" w:type="dxa"/>
              <w:right w:w="90" w:type="dxa"/>
            </w:tcMar>
            <w:vAlign w:val="center"/>
          </w:tcPr>
          <w:p w14:paraId="3F062EE4" w14:textId="77777777" w:rsidR="0064473D" w:rsidRDefault="003C3567">
            <w:r>
              <w:rPr>
                <w:b/>
                <w:color w:val="FFFFFF"/>
                <w:sz w:val="16"/>
              </w:rPr>
              <w:t>Combined result</w:t>
            </w:r>
          </w:p>
        </w:tc>
        <w:tc>
          <w:tcPr>
            <w:tcW w:w="2493" w:type="dxa"/>
            <w:shd w:val="clear" w:color="auto" w:fill="006B5F"/>
            <w:tcMar>
              <w:top w:w="80" w:type="dxa"/>
              <w:left w:w="90" w:type="dxa"/>
              <w:bottom w:w="80" w:type="dxa"/>
              <w:right w:w="90" w:type="dxa"/>
            </w:tcMar>
            <w:vAlign w:val="center"/>
          </w:tcPr>
          <w:p w14:paraId="6B41C1A2" w14:textId="77777777" w:rsidR="0064473D" w:rsidRDefault="003C3567">
            <w:r>
              <w:rPr>
                <w:b/>
                <w:color w:val="FFFFFF"/>
                <w:sz w:val="16"/>
              </w:rPr>
              <w:t>Interpretation</w:t>
            </w:r>
          </w:p>
        </w:tc>
      </w:tr>
      <w:tr w:rsidR="0064473D" w14:paraId="08EAD8AF" w14:textId="77777777">
        <w:trPr>
          <w:jc w:val="center"/>
        </w:trPr>
        <w:tc>
          <w:tcPr>
            <w:tcW w:w="2493" w:type="dxa"/>
            <w:tcMar>
              <w:top w:w="80" w:type="dxa"/>
              <w:left w:w="90" w:type="dxa"/>
              <w:bottom w:w="80" w:type="dxa"/>
              <w:right w:w="90" w:type="dxa"/>
            </w:tcMar>
            <w:vAlign w:val="center"/>
          </w:tcPr>
          <w:p w14:paraId="3F69D40B" w14:textId="77777777" w:rsidR="0064473D" w:rsidRPr="005C36C3" w:rsidRDefault="003C3567">
            <w:pPr>
              <w:rPr>
                <w:sz w:val="18"/>
                <w:szCs w:val="18"/>
              </w:rPr>
            </w:pPr>
            <w:r w:rsidRPr="005C36C3">
              <w:rPr>
                <w:b/>
                <w:sz w:val="18"/>
                <w:szCs w:val="18"/>
              </w:rPr>
              <w:t>Acceptable repayment period</w:t>
            </w:r>
          </w:p>
        </w:tc>
        <w:tc>
          <w:tcPr>
            <w:tcW w:w="2493" w:type="dxa"/>
            <w:tcMar>
              <w:top w:w="80" w:type="dxa"/>
              <w:left w:w="90" w:type="dxa"/>
              <w:bottom w:w="80" w:type="dxa"/>
              <w:right w:w="90" w:type="dxa"/>
            </w:tcMar>
            <w:vAlign w:val="center"/>
          </w:tcPr>
          <w:p w14:paraId="59F87BAB" w14:textId="77777777" w:rsidR="0064473D" w:rsidRPr="005C36C3" w:rsidRDefault="003C3567">
            <w:pPr>
              <w:rPr>
                <w:sz w:val="18"/>
                <w:szCs w:val="18"/>
              </w:rPr>
            </w:pPr>
            <w:r w:rsidRPr="005C36C3">
              <w:rPr>
                <w:sz w:val="18"/>
                <w:szCs w:val="18"/>
              </w:rPr>
              <w:t>5 years: 23.44%; 20 years: 23.44%; 10 years: 18.75%</w:t>
            </w:r>
          </w:p>
        </w:tc>
        <w:tc>
          <w:tcPr>
            <w:tcW w:w="2493" w:type="dxa"/>
            <w:tcMar>
              <w:top w:w="80" w:type="dxa"/>
              <w:left w:w="90" w:type="dxa"/>
              <w:bottom w:w="80" w:type="dxa"/>
              <w:right w:w="90" w:type="dxa"/>
            </w:tcMar>
            <w:vAlign w:val="center"/>
          </w:tcPr>
          <w:p w14:paraId="2CAD2883" w14:textId="77777777" w:rsidR="0064473D" w:rsidRPr="005C36C3" w:rsidRDefault="003C3567">
            <w:pPr>
              <w:rPr>
                <w:sz w:val="18"/>
                <w:szCs w:val="18"/>
              </w:rPr>
            </w:pPr>
            <w:r w:rsidRPr="005C36C3">
              <w:rPr>
                <w:sz w:val="18"/>
                <w:szCs w:val="18"/>
              </w:rPr>
              <w:t>5-20 years: 65.63%</w:t>
            </w:r>
          </w:p>
        </w:tc>
        <w:tc>
          <w:tcPr>
            <w:tcW w:w="2493" w:type="dxa"/>
            <w:tcMar>
              <w:top w:w="80" w:type="dxa"/>
              <w:left w:w="90" w:type="dxa"/>
              <w:bottom w:w="80" w:type="dxa"/>
              <w:right w:w="90" w:type="dxa"/>
            </w:tcMar>
            <w:vAlign w:val="center"/>
          </w:tcPr>
          <w:p w14:paraId="09F7F7D2" w14:textId="77777777" w:rsidR="0064473D" w:rsidRPr="005C36C3" w:rsidRDefault="003C3567">
            <w:pPr>
              <w:rPr>
                <w:sz w:val="18"/>
                <w:szCs w:val="18"/>
              </w:rPr>
            </w:pPr>
            <w:r w:rsidRPr="005C36C3">
              <w:rPr>
                <w:sz w:val="18"/>
                <w:szCs w:val="18"/>
              </w:rPr>
              <w:t>Preference is concentrated in short-to-medium terms but is not decisive.</w:t>
            </w:r>
          </w:p>
        </w:tc>
      </w:tr>
      <w:tr w:rsidR="0064473D" w14:paraId="126A6620" w14:textId="77777777">
        <w:trPr>
          <w:jc w:val="center"/>
        </w:trPr>
        <w:tc>
          <w:tcPr>
            <w:tcW w:w="2493" w:type="dxa"/>
            <w:tcMar>
              <w:top w:w="80" w:type="dxa"/>
              <w:left w:w="90" w:type="dxa"/>
              <w:bottom w:w="80" w:type="dxa"/>
              <w:right w:w="90" w:type="dxa"/>
            </w:tcMar>
            <w:vAlign w:val="center"/>
          </w:tcPr>
          <w:p w14:paraId="34875730" w14:textId="77777777" w:rsidR="0064473D" w:rsidRDefault="003C3567">
            <w:r>
              <w:rPr>
                <w:b/>
                <w:sz w:val="15"/>
              </w:rPr>
              <w:t>Minimising total interest</w:t>
            </w:r>
          </w:p>
        </w:tc>
        <w:tc>
          <w:tcPr>
            <w:tcW w:w="2493" w:type="dxa"/>
            <w:tcMar>
              <w:top w:w="80" w:type="dxa"/>
              <w:left w:w="90" w:type="dxa"/>
              <w:bottom w:w="80" w:type="dxa"/>
              <w:right w:w="90" w:type="dxa"/>
            </w:tcMar>
            <w:vAlign w:val="center"/>
          </w:tcPr>
          <w:p w14:paraId="4728AD52" w14:textId="77777777" w:rsidR="0064473D" w:rsidRDefault="003C3567">
            <w:r>
              <w:rPr>
                <w:sz w:val="15"/>
              </w:rPr>
              <w:t>Extremely: 40.63%; very: 23.44%</w:t>
            </w:r>
          </w:p>
        </w:tc>
        <w:tc>
          <w:tcPr>
            <w:tcW w:w="2493" w:type="dxa"/>
            <w:tcMar>
              <w:top w:w="80" w:type="dxa"/>
              <w:left w:w="90" w:type="dxa"/>
              <w:bottom w:w="80" w:type="dxa"/>
              <w:right w:w="90" w:type="dxa"/>
            </w:tcMar>
            <w:vAlign w:val="center"/>
          </w:tcPr>
          <w:p w14:paraId="7E8DF74E" w14:textId="77777777" w:rsidR="0064473D" w:rsidRDefault="003C3567">
            <w:r>
              <w:rPr>
                <w:sz w:val="15"/>
              </w:rPr>
              <w:t>At least somewhat important: 79.70%</w:t>
            </w:r>
          </w:p>
        </w:tc>
        <w:tc>
          <w:tcPr>
            <w:tcW w:w="2493" w:type="dxa"/>
            <w:tcMar>
              <w:top w:w="80" w:type="dxa"/>
              <w:left w:w="90" w:type="dxa"/>
              <w:bottom w:w="80" w:type="dxa"/>
              <w:right w:w="90" w:type="dxa"/>
            </w:tcMar>
            <w:vAlign w:val="center"/>
          </w:tcPr>
          <w:p w14:paraId="27556758" w14:textId="77777777" w:rsidR="0064473D" w:rsidRDefault="003C3567">
            <w:r>
              <w:rPr>
                <w:sz w:val="15"/>
              </w:rPr>
              <w:t>Any future finance comparison should show total interest as well as annual cost.</w:t>
            </w:r>
          </w:p>
        </w:tc>
      </w:tr>
    </w:tbl>
    <w:p w14:paraId="16DC9439" w14:textId="77777777" w:rsidR="0064473D" w:rsidRPr="006B5A3A" w:rsidRDefault="003C3567" w:rsidP="006B5A3A">
      <w:pPr>
        <w:pStyle w:val="Heading1"/>
      </w:pPr>
      <w:r w:rsidRPr="006B5A3A">
        <w:t>Concerns Raised</w:t>
      </w:r>
    </w:p>
    <w:p w14:paraId="272F03D5" w14:textId="77777777" w:rsidR="0064473D" w:rsidRDefault="003C3567">
      <w:pPr>
        <w:pStyle w:val="BodyText"/>
      </w:pPr>
      <w:r>
        <w:t>The concerns question was answered by 63 respondents, or 70.00% of the total consultation sample, and allowed multiple selections. Disruption during works and parking or traffic were the joint highest concerns, each selected by 22 respondents, or 34.92%. Borrowing or debt followed closely at 33.33%. Cost being too high was selected by 23.81%.</w:t>
      </w:r>
    </w:p>
    <w:p w14:paraId="51B2D3E6" w14:textId="77777777" w:rsidR="0064473D" w:rsidRDefault="003C3567">
      <w:pPr>
        <w:pStyle w:val="BodyText"/>
      </w:pPr>
      <w:r>
        <w:t>Twelve respondents, representing 19.05%, selected no concerns. The same number selected insufficient demand. Better priorities elsewhere was selected by 14.29%, while impact on the precept and other concerns were each selected by 12.70%. The results show that operational delivery and access are at least as prominent as direct taxation concerns and should be treated as central project risks rather than secondary communications issues.</w:t>
      </w:r>
    </w:p>
    <w:p w14:paraId="5478105F" w14:textId="77777777" w:rsidR="0064473D" w:rsidRDefault="003C3567">
      <w:pPr>
        <w:jc w:val="center"/>
      </w:pPr>
      <w:r>
        <w:rPr>
          <w:noProof/>
        </w:rPr>
        <w:drawing>
          <wp:inline distT="0" distB="0" distL="0" distR="0" wp14:anchorId="7F844089" wp14:editId="0FACCF3E">
            <wp:extent cx="5897880" cy="3144591"/>
            <wp:effectExtent l="0" t="0" r="0" b="0"/>
            <wp:docPr id="5" name="Picture 5" descr="Horizontal bar chart ranking concerns, led by disruption during works and parking or traffic at 34.92% each, followed by borrowing or debt at 33.33%." title="Project concer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project_concerns.png"/>
                    <pic:cNvPicPr/>
                  </pic:nvPicPr>
                  <pic:blipFill>
                    <a:blip r:embed="rId15"/>
                    <a:stretch>
                      <a:fillRect/>
                    </a:stretch>
                  </pic:blipFill>
                  <pic:spPr>
                    <a:xfrm>
                      <a:off x="0" y="0"/>
                      <a:ext cx="5897880" cy="3144591"/>
                    </a:xfrm>
                    <a:prstGeom prst="rect">
                      <a:avLst/>
                    </a:prstGeom>
                  </pic:spPr>
                </pic:pic>
              </a:graphicData>
            </a:graphic>
          </wp:inline>
        </w:drawing>
      </w:r>
    </w:p>
    <w:p w14:paraId="76138CD5" w14:textId="77777777" w:rsidR="005C36C3" w:rsidRDefault="003C3567" w:rsidP="005C36C3">
      <w:pPr>
        <w:spacing w:before="20" w:after="140"/>
        <w:jc w:val="center"/>
        <w:rPr>
          <w:i/>
          <w:color w:val="5B6B70"/>
          <w:sz w:val="16"/>
        </w:rPr>
      </w:pPr>
      <w:r>
        <w:rPr>
          <w:i/>
          <w:color w:val="5B6B70"/>
          <w:sz w:val="16"/>
        </w:rPr>
        <w:t>Figure 5 - Concerns selected by respondents.</w:t>
      </w:r>
    </w:p>
    <w:p w14:paraId="5EC8822F" w14:textId="670EB4B2" w:rsidR="0064473D" w:rsidRPr="005C36C3" w:rsidRDefault="003C3567" w:rsidP="006B5A3A">
      <w:pPr>
        <w:pStyle w:val="Heading1"/>
      </w:pPr>
      <w:r w:rsidRPr="005C36C3">
        <w:t>Response Levels by Question</w:t>
      </w:r>
    </w:p>
    <w:p w14:paraId="4D373E75" w14:textId="77777777" w:rsidR="0064473D" w:rsidRDefault="003C3567">
      <w:pPr>
        <w:pStyle w:val="BodyText"/>
      </w:pPr>
      <w:r>
        <w:t>Response levels reduced as the survey progressed. Questions concerning funding, borrowing and concerns were answered by 63 or 64 respondents rather than all 90 participants. This does not invalidate the results, but it means the finance findings represent approximately seven in ten of the full sample and should not be presented as the settled view of all consultation participants.</w:t>
      </w:r>
    </w:p>
    <w:tbl>
      <w:tblPr>
        <w:tblW w:w="0" w:type="auto"/>
        <w:jc w:val="center"/>
        <w:tblBorders>
          <w:top w:val="single" w:sz="4" w:space="0" w:color="B7C7C4"/>
          <w:left w:val="single" w:sz="4" w:space="0" w:color="B7C7C4"/>
          <w:bottom w:val="single" w:sz="4" w:space="0" w:color="B7C7C4"/>
          <w:right w:val="single" w:sz="4" w:space="0" w:color="B7C7C4"/>
          <w:insideH w:val="single" w:sz="4" w:space="0" w:color="B7C7C4"/>
          <w:insideV w:val="single" w:sz="4" w:space="0" w:color="B7C7C4"/>
        </w:tblBorders>
        <w:tblLook w:val="04A0" w:firstRow="1" w:lastRow="0" w:firstColumn="1" w:lastColumn="0" w:noHBand="0" w:noVBand="1"/>
      </w:tblPr>
      <w:tblGrid>
        <w:gridCol w:w="2419"/>
        <w:gridCol w:w="2404"/>
        <w:gridCol w:w="2397"/>
        <w:gridCol w:w="2408"/>
      </w:tblGrid>
      <w:tr w:rsidR="0064473D" w14:paraId="514F7340" w14:textId="77777777">
        <w:trPr>
          <w:tblHeader/>
          <w:jc w:val="center"/>
        </w:trPr>
        <w:tc>
          <w:tcPr>
            <w:tcW w:w="2493" w:type="dxa"/>
            <w:shd w:val="clear" w:color="auto" w:fill="006B5F"/>
            <w:tcMar>
              <w:top w:w="80" w:type="dxa"/>
              <w:left w:w="90" w:type="dxa"/>
              <w:bottom w:w="80" w:type="dxa"/>
              <w:right w:w="90" w:type="dxa"/>
            </w:tcMar>
            <w:vAlign w:val="center"/>
          </w:tcPr>
          <w:p w14:paraId="5B63F23B" w14:textId="77777777" w:rsidR="0064473D" w:rsidRDefault="003C3567">
            <w:r>
              <w:rPr>
                <w:b/>
                <w:color w:val="FFFFFF"/>
                <w:sz w:val="16"/>
              </w:rPr>
              <w:t>Question area</w:t>
            </w:r>
          </w:p>
        </w:tc>
        <w:tc>
          <w:tcPr>
            <w:tcW w:w="2493" w:type="dxa"/>
            <w:shd w:val="clear" w:color="auto" w:fill="006B5F"/>
            <w:tcMar>
              <w:top w:w="80" w:type="dxa"/>
              <w:left w:w="90" w:type="dxa"/>
              <w:bottom w:w="80" w:type="dxa"/>
              <w:right w:w="90" w:type="dxa"/>
            </w:tcMar>
            <w:vAlign w:val="center"/>
          </w:tcPr>
          <w:p w14:paraId="2450B892" w14:textId="77777777" w:rsidR="0064473D" w:rsidRDefault="003C3567">
            <w:r>
              <w:rPr>
                <w:b/>
                <w:color w:val="FFFFFF"/>
                <w:sz w:val="16"/>
              </w:rPr>
              <w:t>Responses</w:t>
            </w:r>
          </w:p>
        </w:tc>
        <w:tc>
          <w:tcPr>
            <w:tcW w:w="2493" w:type="dxa"/>
            <w:shd w:val="clear" w:color="auto" w:fill="006B5F"/>
            <w:tcMar>
              <w:top w:w="80" w:type="dxa"/>
              <w:left w:w="90" w:type="dxa"/>
              <w:bottom w:w="80" w:type="dxa"/>
              <w:right w:w="90" w:type="dxa"/>
            </w:tcMar>
            <w:vAlign w:val="center"/>
          </w:tcPr>
          <w:p w14:paraId="47C58B89" w14:textId="77777777" w:rsidR="0064473D" w:rsidRDefault="003C3567">
            <w:r>
              <w:rPr>
                <w:b/>
                <w:color w:val="FFFFFF"/>
                <w:sz w:val="16"/>
              </w:rPr>
              <w:t>Share of 90</w:t>
            </w:r>
          </w:p>
        </w:tc>
        <w:tc>
          <w:tcPr>
            <w:tcW w:w="2493" w:type="dxa"/>
            <w:shd w:val="clear" w:color="auto" w:fill="006B5F"/>
            <w:tcMar>
              <w:top w:w="80" w:type="dxa"/>
              <w:left w:w="90" w:type="dxa"/>
              <w:bottom w:w="80" w:type="dxa"/>
              <w:right w:w="90" w:type="dxa"/>
            </w:tcMar>
            <w:vAlign w:val="center"/>
          </w:tcPr>
          <w:p w14:paraId="0086E017" w14:textId="77777777" w:rsidR="0064473D" w:rsidRDefault="003C3567">
            <w:r>
              <w:rPr>
                <w:b/>
                <w:color w:val="FFFFFF"/>
                <w:sz w:val="16"/>
              </w:rPr>
              <w:t>Comment</w:t>
            </w:r>
          </w:p>
        </w:tc>
      </w:tr>
      <w:tr w:rsidR="0064473D" w14:paraId="48213934" w14:textId="77777777">
        <w:trPr>
          <w:jc w:val="center"/>
        </w:trPr>
        <w:tc>
          <w:tcPr>
            <w:tcW w:w="2493" w:type="dxa"/>
            <w:tcMar>
              <w:top w:w="80" w:type="dxa"/>
              <w:left w:w="90" w:type="dxa"/>
              <w:bottom w:w="80" w:type="dxa"/>
              <w:right w:w="90" w:type="dxa"/>
            </w:tcMar>
            <w:vAlign w:val="center"/>
          </w:tcPr>
          <w:p w14:paraId="70052E1F" w14:textId="77777777" w:rsidR="0064473D" w:rsidRPr="005C36C3" w:rsidRDefault="003C3567">
            <w:pPr>
              <w:rPr>
                <w:sz w:val="18"/>
                <w:szCs w:val="18"/>
              </w:rPr>
            </w:pPr>
            <w:r w:rsidRPr="005C36C3">
              <w:rPr>
                <w:b/>
                <w:sz w:val="18"/>
                <w:szCs w:val="18"/>
              </w:rPr>
              <w:t>Residence and relationship</w:t>
            </w:r>
          </w:p>
        </w:tc>
        <w:tc>
          <w:tcPr>
            <w:tcW w:w="2493" w:type="dxa"/>
            <w:tcMar>
              <w:top w:w="80" w:type="dxa"/>
              <w:left w:w="90" w:type="dxa"/>
              <w:bottom w:w="80" w:type="dxa"/>
              <w:right w:w="90" w:type="dxa"/>
            </w:tcMar>
            <w:vAlign w:val="center"/>
          </w:tcPr>
          <w:p w14:paraId="11C758B2" w14:textId="77777777" w:rsidR="0064473D" w:rsidRPr="005C36C3" w:rsidRDefault="003C3567">
            <w:pPr>
              <w:jc w:val="center"/>
              <w:rPr>
                <w:sz w:val="18"/>
                <w:szCs w:val="18"/>
              </w:rPr>
            </w:pPr>
            <w:r w:rsidRPr="005C36C3">
              <w:rPr>
                <w:sz w:val="18"/>
                <w:szCs w:val="18"/>
              </w:rPr>
              <w:t>90</w:t>
            </w:r>
          </w:p>
        </w:tc>
        <w:tc>
          <w:tcPr>
            <w:tcW w:w="2493" w:type="dxa"/>
            <w:tcMar>
              <w:top w:w="80" w:type="dxa"/>
              <w:left w:w="90" w:type="dxa"/>
              <w:bottom w:w="80" w:type="dxa"/>
              <w:right w:w="90" w:type="dxa"/>
            </w:tcMar>
            <w:vAlign w:val="center"/>
          </w:tcPr>
          <w:p w14:paraId="27A25AD7" w14:textId="77777777" w:rsidR="0064473D" w:rsidRPr="005C36C3" w:rsidRDefault="003C3567">
            <w:pPr>
              <w:jc w:val="center"/>
              <w:rPr>
                <w:sz w:val="18"/>
                <w:szCs w:val="18"/>
              </w:rPr>
            </w:pPr>
            <w:r w:rsidRPr="005C36C3">
              <w:rPr>
                <w:sz w:val="18"/>
                <w:szCs w:val="18"/>
              </w:rPr>
              <w:t>100.00%</w:t>
            </w:r>
          </w:p>
        </w:tc>
        <w:tc>
          <w:tcPr>
            <w:tcW w:w="2493" w:type="dxa"/>
            <w:tcMar>
              <w:top w:w="80" w:type="dxa"/>
              <w:left w:w="90" w:type="dxa"/>
              <w:bottom w:w="80" w:type="dxa"/>
              <w:right w:w="90" w:type="dxa"/>
            </w:tcMar>
            <w:vAlign w:val="center"/>
          </w:tcPr>
          <w:p w14:paraId="1A83AA19" w14:textId="77777777" w:rsidR="0064473D" w:rsidRPr="005C36C3" w:rsidRDefault="003C3567">
            <w:pPr>
              <w:rPr>
                <w:sz w:val="18"/>
                <w:szCs w:val="18"/>
              </w:rPr>
            </w:pPr>
            <w:r w:rsidRPr="005C36C3">
              <w:rPr>
                <w:sz w:val="18"/>
                <w:szCs w:val="18"/>
              </w:rPr>
              <w:t>Full sample</w:t>
            </w:r>
          </w:p>
        </w:tc>
      </w:tr>
      <w:tr w:rsidR="0064473D" w14:paraId="17A8D599" w14:textId="77777777">
        <w:trPr>
          <w:jc w:val="center"/>
        </w:trPr>
        <w:tc>
          <w:tcPr>
            <w:tcW w:w="2493" w:type="dxa"/>
            <w:tcMar>
              <w:top w:w="80" w:type="dxa"/>
              <w:left w:w="90" w:type="dxa"/>
              <w:bottom w:w="80" w:type="dxa"/>
              <w:right w:w="90" w:type="dxa"/>
            </w:tcMar>
            <w:vAlign w:val="center"/>
          </w:tcPr>
          <w:p w14:paraId="3D9C5B9A" w14:textId="77777777" w:rsidR="0064473D" w:rsidRPr="005C36C3" w:rsidRDefault="003C3567">
            <w:pPr>
              <w:rPr>
                <w:sz w:val="18"/>
                <w:szCs w:val="18"/>
              </w:rPr>
            </w:pPr>
            <w:r w:rsidRPr="005C36C3">
              <w:rPr>
                <w:b/>
                <w:sz w:val="18"/>
                <w:szCs w:val="18"/>
              </w:rPr>
              <w:t>Use frequency</w:t>
            </w:r>
          </w:p>
        </w:tc>
        <w:tc>
          <w:tcPr>
            <w:tcW w:w="2493" w:type="dxa"/>
            <w:tcMar>
              <w:top w:w="80" w:type="dxa"/>
              <w:left w:w="90" w:type="dxa"/>
              <w:bottom w:w="80" w:type="dxa"/>
              <w:right w:w="90" w:type="dxa"/>
            </w:tcMar>
            <w:vAlign w:val="center"/>
          </w:tcPr>
          <w:p w14:paraId="32730960" w14:textId="77777777" w:rsidR="0064473D" w:rsidRPr="005C36C3" w:rsidRDefault="003C3567">
            <w:pPr>
              <w:jc w:val="center"/>
              <w:rPr>
                <w:sz w:val="18"/>
                <w:szCs w:val="18"/>
              </w:rPr>
            </w:pPr>
            <w:r w:rsidRPr="005C36C3">
              <w:rPr>
                <w:sz w:val="18"/>
                <w:szCs w:val="18"/>
              </w:rPr>
              <w:t>90</w:t>
            </w:r>
          </w:p>
        </w:tc>
        <w:tc>
          <w:tcPr>
            <w:tcW w:w="2493" w:type="dxa"/>
            <w:tcMar>
              <w:top w:w="80" w:type="dxa"/>
              <w:left w:w="90" w:type="dxa"/>
              <w:bottom w:w="80" w:type="dxa"/>
              <w:right w:w="90" w:type="dxa"/>
            </w:tcMar>
            <w:vAlign w:val="center"/>
          </w:tcPr>
          <w:p w14:paraId="023B66F8" w14:textId="77777777" w:rsidR="0064473D" w:rsidRPr="005C36C3" w:rsidRDefault="003C3567">
            <w:pPr>
              <w:jc w:val="center"/>
              <w:rPr>
                <w:sz w:val="18"/>
                <w:szCs w:val="18"/>
              </w:rPr>
            </w:pPr>
            <w:r w:rsidRPr="005C36C3">
              <w:rPr>
                <w:sz w:val="18"/>
                <w:szCs w:val="18"/>
              </w:rPr>
              <w:t>100.00%</w:t>
            </w:r>
          </w:p>
        </w:tc>
        <w:tc>
          <w:tcPr>
            <w:tcW w:w="2493" w:type="dxa"/>
            <w:tcMar>
              <w:top w:w="80" w:type="dxa"/>
              <w:left w:w="90" w:type="dxa"/>
              <w:bottom w:w="80" w:type="dxa"/>
              <w:right w:w="90" w:type="dxa"/>
            </w:tcMar>
            <w:vAlign w:val="center"/>
          </w:tcPr>
          <w:p w14:paraId="3BE9E952" w14:textId="77777777" w:rsidR="0064473D" w:rsidRPr="005C36C3" w:rsidRDefault="003C3567">
            <w:pPr>
              <w:rPr>
                <w:sz w:val="18"/>
                <w:szCs w:val="18"/>
              </w:rPr>
            </w:pPr>
            <w:r w:rsidRPr="005C36C3">
              <w:rPr>
                <w:sz w:val="18"/>
                <w:szCs w:val="18"/>
              </w:rPr>
              <w:t>Export records 91 selections</w:t>
            </w:r>
          </w:p>
        </w:tc>
      </w:tr>
      <w:tr w:rsidR="0064473D" w14:paraId="565F6B26" w14:textId="77777777">
        <w:trPr>
          <w:jc w:val="center"/>
        </w:trPr>
        <w:tc>
          <w:tcPr>
            <w:tcW w:w="2493" w:type="dxa"/>
            <w:tcMar>
              <w:top w:w="80" w:type="dxa"/>
              <w:left w:w="90" w:type="dxa"/>
              <w:bottom w:w="80" w:type="dxa"/>
              <w:right w:w="90" w:type="dxa"/>
            </w:tcMar>
            <w:vAlign w:val="center"/>
          </w:tcPr>
          <w:p w14:paraId="4316FACA" w14:textId="77777777" w:rsidR="0064473D" w:rsidRDefault="003C3567">
            <w:r>
              <w:rPr>
                <w:b/>
                <w:sz w:val="16"/>
              </w:rPr>
              <w:t>Current facility / improvements needed</w:t>
            </w:r>
          </w:p>
        </w:tc>
        <w:tc>
          <w:tcPr>
            <w:tcW w:w="2493" w:type="dxa"/>
            <w:tcMar>
              <w:top w:w="80" w:type="dxa"/>
              <w:left w:w="90" w:type="dxa"/>
              <w:bottom w:w="80" w:type="dxa"/>
              <w:right w:w="90" w:type="dxa"/>
            </w:tcMar>
            <w:vAlign w:val="center"/>
          </w:tcPr>
          <w:p w14:paraId="639FF7AA" w14:textId="77777777" w:rsidR="0064473D" w:rsidRDefault="003C3567">
            <w:pPr>
              <w:jc w:val="center"/>
            </w:pPr>
            <w:r>
              <w:rPr>
                <w:sz w:val="16"/>
              </w:rPr>
              <w:t>73</w:t>
            </w:r>
          </w:p>
        </w:tc>
        <w:tc>
          <w:tcPr>
            <w:tcW w:w="2493" w:type="dxa"/>
            <w:tcMar>
              <w:top w:w="80" w:type="dxa"/>
              <w:left w:w="90" w:type="dxa"/>
              <w:bottom w:w="80" w:type="dxa"/>
              <w:right w:w="90" w:type="dxa"/>
            </w:tcMar>
            <w:vAlign w:val="center"/>
          </w:tcPr>
          <w:p w14:paraId="0AED1E43" w14:textId="77777777" w:rsidR="0064473D" w:rsidRDefault="003C3567">
            <w:pPr>
              <w:jc w:val="center"/>
            </w:pPr>
            <w:r>
              <w:rPr>
                <w:sz w:val="16"/>
              </w:rPr>
              <w:t>81.11%</w:t>
            </w:r>
          </w:p>
        </w:tc>
        <w:tc>
          <w:tcPr>
            <w:tcW w:w="2493" w:type="dxa"/>
            <w:tcMar>
              <w:top w:w="80" w:type="dxa"/>
              <w:left w:w="90" w:type="dxa"/>
              <w:bottom w:w="80" w:type="dxa"/>
              <w:right w:w="90" w:type="dxa"/>
            </w:tcMar>
            <w:vAlign w:val="center"/>
          </w:tcPr>
          <w:p w14:paraId="45AE9A3A" w14:textId="77777777" w:rsidR="0064473D" w:rsidRDefault="003C3567">
            <w:r>
              <w:rPr>
                <w:sz w:val="16"/>
              </w:rPr>
              <w:t>Free-text comments not supplied</w:t>
            </w:r>
          </w:p>
        </w:tc>
      </w:tr>
      <w:tr w:rsidR="0064473D" w14:paraId="7C2FC408" w14:textId="77777777">
        <w:trPr>
          <w:jc w:val="center"/>
        </w:trPr>
        <w:tc>
          <w:tcPr>
            <w:tcW w:w="2493" w:type="dxa"/>
            <w:tcMar>
              <w:top w:w="80" w:type="dxa"/>
              <w:left w:w="90" w:type="dxa"/>
              <w:bottom w:w="80" w:type="dxa"/>
              <w:right w:w="90" w:type="dxa"/>
            </w:tcMar>
            <w:vAlign w:val="center"/>
          </w:tcPr>
          <w:p w14:paraId="259E86F8" w14:textId="77777777" w:rsidR="0064473D" w:rsidRPr="005C36C3" w:rsidRDefault="003C3567">
            <w:pPr>
              <w:rPr>
                <w:sz w:val="18"/>
                <w:szCs w:val="18"/>
              </w:rPr>
            </w:pPr>
            <w:r w:rsidRPr="005C36C3">
              <w:rPr>
                <w:b/>
                <w:sz w:val="18"/>
                <w:szCs w:val="18"/>
              </w:rPr>
              <w:t>Strategic importance / priorities / likely use</w:t>
            </w:r>
          </w:p>
        </w:tc>
        <w:tc>
          <w:tcPr>
            <w:tcW w:w="2493" w:type="dxa"/>
            <w:tcMar>
              <w:top w:w="80" w:type="dxa"/>
              <w:left w:w="90" w:type="dxa"/>
              <w:bottom w:w="80" w:type="dxa"/>
              <w:right w:w="90" w:type="dxa"/>
            </w:tcMar>
            <w:vAlign w:val="center"/>
          </w:tcPr>
          <w:p w14:paraId="4DAC9CBA" w14:textId="77777777" w:rsidR="0064473D" w:rsidRPr="005C36C3" w:rsidRDefault="003C3567">
            <w:pPr>
              <w:jc w:val="center"/>
              <w:rPr>
                <w:sz w:val="18"/>
                <w:szCs w:val="18"/>
              </w:rPr>
            </w:pPr>
            <w:r w:rsidRPr="005C36C3">
              <w:rPr>
                <w:sz w:val="18"/>
                <w:szCs w:val="18"/>
              </w:rPr>
              <w:t>71</w:t>
            </w:r>
          </w:p>
        </w:tc>
        <w:tc>
          <w:tcPr>
            <w:tcW w:w="2493" w:type="dxa"/>
            <w:tcMar>
              <w:top w:w="80" w:type="dxa"/>
              <w:left w:w="90" w:type="dxa"/>
              <w:bottom w:w="80" w:type="dxa"/>
              <w:right w:w="90" w:type="dxa"/>
            </w:tcMar>
            <w:vAlign w:val="center"/>
          </w:tcPr>
          <w:p w14:paraId="72057418" w14:textId="77777777" w:rsidR="0064473D" w:rsidRPr="005C36C3" w:rsidRDefault="003C3567">
            <w:pPr>
              <w:jc w:val="center"/>
              <w:rPr>
                <w:sz w:val="18"/>
                <w:szCs w:val="18"/>
              </w:rPr>
            </w:pPr>
            <w:r w:rsidRPr="005C36C3">
              <w:rPr>
                <w:sz w:val="18"/>
                <w:szCs w:val="18"/>
              </w:rPr>
              <w:t>78.89%</w:t>
            </w:r>
          </w:p>
        </w:tc>
        <w:tc>
          <w:tcPr>
            <w:tcW w:w="2493" w:type="dxa"/>
            <w:tcMar>
              <w:top w:w="80" w:type="dxa"/>
              <w:left w:w="90" w:type="dxa"/>
              <w:bottom w:w="80" w:type="dxa"/>
              <w:right w:w="90" w:type="dxa"/>
            </w:tcMar>
            <w:vAlign w:val="center"/>
          </w:tcPr>
          <w:p w14:paraId="5643A578" w14:textId="77777777" w:rsidR="0064473D" w:rsidRPr="005C36C3" w:rsidRDefault="003C3567">
            <w:pPr>
              <w:rPr>
                <w:sz w:val="18"/>
                <w:szCs w:val="18"/>
              </w:rPr>
            </w:pPr>
            <w:r w:rsidRPr="005C36C3">
              <w:rPr>
                <w:sz w:val="18"/>
                <w:szCs w:val="18"/>
              </w:rPr>
              <w:t>Core future-investment questions</w:t>
            </w:r>
          </w:p>
        </w:tc>
      </w:tr>
      <w:tr w:rsidR="0064473D" w14:paraId="7392713D" w14:textId="77777777">
        <w:trPr>
          <w:jc w:val="center"/>
        </w:trPr>
        <w:tc>
          <w:tcPr>
            <w:tcW w:w="2493" w:type="dxa"/>
            <w:tcMar>
              <w:top w:w="80" w:type="dxa"/>
              <w:left w:w="90" w:type="dxa"/>
              <w:bottom w:w="80" w:type="dxa"/>
              <w:right w:w="90" w:type="dxa"/>
            </w:tcMar>
            <w:vAlign w:val="center"/>
          </w:tcPr>
          <w:p w14:paraId="4F806622" w14:textId="77777777" w:rsidR="0064473D" w:rsidRPr="005C36C3" w:rsidRDefault="003C3567">
            <w:pPr>
              <w:rPr>
                <w:sz w:val="18"/>
                <w:szCs w:val="18"/>
              </w:rPr>
            </w:pPr>
            <w:r w:rsidRPr="005C36C3">
              <w:rPr>
                <w:b/>
                <w:sz w:val="18"/>
                <w:szCs w:val="18"/>
              </w:rPr>
              <w:t>Funding / borrowing / interest</w:t>
            </w:r>
          </w:p>
        </w:tc>
        <w:tc>
          <w:tcPr>
            <w:tcW w:w="2493" w:type="dxa"/>
            <w:tcMar>
              <w:top w:w="80" w:type="dxa"/>
              <w:left w:w="90" w:type="dxa"/>
              <w:bottom w:w="80" w:type="dxa"/>
              <w:right w:w="90" w:type="dxa"/>
            </w:tcMar>
            <w:vAlign w:val="center"/>
          </w:tcPr>
          <w:p w14:paraId="0BDB10AE" w14:textId="77777777" w:rsidR="0064473D" w:rsidRPr="005C36C3" w:rsidRDefault="003C3567">
            <w:pPr>
              <w:jc w:val="center"/>
              <w:rPr>
                <w:sz w:val="18"/>
                <w:szCs w:val="18"/>
              </w:rPr>
            </w:pPr>
            <w:r w:rsidRPr="005C36C3">
              <w:rPr>
                <w:sz w:val="18"/>
                <w:szCs w:val="18"/>
              </w:rPr>
              <w:t>64</w:t>
            </w:r>
          </w:p>
        </w:tc>
        <w:tc>
          <w:tcPr>
            <w:tcW w:w="2493" w:type="dxa"/>
            <w:tcMar>
              <w:top w:w="80" w:type="dxa"/>
              <w:left w:w="90" w:type="dxa"/>
              <w:bottom w:w="80" w:type="dxa"/>
              <w:right w:w="90" w:type="dxa"/>
            </w:tcMar>
            <w:vAlign w:val="center"/>
          </w:tcPr>
          <w:p w14:paraId="6E1B8D05" w14:textId="77777777" w:rsidR="0064473D" w:rsidRPr="005C36C3" w:rsidRDefault="003C3567">
            <w:pPr>
              <w:jc w:val="center"/>
              <w:rPr>
                <w:sz w:val="18"/>
                <w:szCs w:val="18"/>
              </w:rPr>
            </w:pPr>
            <w:r w:rsidRPr="005C36C3">
              <w:rPr>
                <w:sz w:val="18"/>
                <w:szCs w:val="18"/>
              </w:rPr>
              <w:t>71.11%</w:t>
            </w:r>
          </w:p>
        </w:tc>
        <w:tc>
          <w:tcPr>
            <w:tcW w:w="2493" w:type="dxa"/>
            <w:tcMar>
              <w:top w:w="80" w:type="dxa"/>
              <w:left w:w="90" w:type="dxa"/>
              <w:bottom w:w="80" w:type="dxa"/>
              <w:right w:w="90" w:type="dxa"/>
            </w:tcMar>
            <w:vAlign w:val="center"/>
          </w:tcPr>
          <w:p w14:paraId="31FDE04B" w14:textId="77777777" w:rsidR="0064473D" w:rsidRPr="005C36C3" w:rsidRDefault="003C3567">
            <w:pPr>
              <w:rPr>
                <w:sz w:val="18"/>
                <w:szCs w:val="18"/>
              </w:rPr>
            </w:pPr>
            <w:r w:rsidRPr="005C36C3">
              <w:rPr>
                <w:sz w:val="18"/>
                <w:szCs w:val="18"/>
              </w:rPr>
              <w:t>Lower response base</w:t>
            </w:r>
          </w:p>
        </w:tc>
      </w:tr>
      <w:tr w:rsidR="0064473D" w14:paraId="6333F9AB" w14:textId="77777777">
        <w:trPr>
          <w:jc w:val="center"/>
        </w:trPr>
        <w:tc>
          <w:tcPr>
            <w:tcW w:w="2493" w:type="dxa"/>
            <w:tcMar>
              <w:top w:w="80" w:type="dxa"/>
              <w:left w:w="90" w:type="dxa"/>
              <w:bottom w:w="80" w:type="dxa"/>
              <w:right w:w="90" w:type="dxa"/>
            </w:tcMar>
            <w:vAlign w:val="center"/>
          </w:tcPr>
          <w:p w14:paraId="540F22C0" w14:textId="77777777" w:rsidR="0064473D" w:rsidRPr="005C36C3" w:rsidRDefault="003C3567">
            <w:pPr>
              <w:rPr>
                <w:sz w:val="18"/>
                <w:szCs w:val="18"/>
              </w:rPr>
            </w:pPr>
            <w:r w:rsidRPr="005C36C3">
              <w:rPr>
                <w:b/>
                <w:sz w:val="18"/>
                <w:szCs w:val="18"/>
              </w:rPr>
              <w:t>Concerns / additional comments</w:t>
            </w:r>
          </w:p>
        </w:tc>
        <w:tc>
          <w:tcPr>
            <w:tcW w:w="2493" w:type="dxa"/>
            <w:tcMar>
              <w:top w:w="80" w:type="dxa"/>
              <w:left w:w="90" w:type="dxa"/>
              <w:bottom w:w="80" w:type="dxa"/>
              <w:right w:w="90" w:type="dxa"/>
            </w:tcMar>
            <w:vAlign w:val="center"/>
          </w:tcPr>
          <w:p w14:paraId="63B507AC" w14:textId="77777777" w:rsidR="0064473D" w:rsidRPr="005C36C3" w:rsidRDefault="003C3567">
            <w:pPr>
              <w:jc w:val="center"/>
              <w:rPr>
                <w:sz w:val="18"/>
                <w:szCs w:val="18"/>
              </w:rPr>
            </w:pPr>
            <w:r w:rsidRPr="005C36C3">
              <w:rPr>
                <w:sz w:val="18"/>
                <w:szCs w:val="18"/>
              </w:rPr>
              <w:t>63</w:t>
            </w:r>
          </w:p>
        </w:tc>
        <w:tc>
          <w:tcPr>
            <w:tcW w:w="2493" w:type="dxa"/>
            <w:tcMar>
              <w:top w:w="80" w:type="dxa"/>
              <w:left w:w="90" w:type="dxa"/>
              <w:bottom w:w="80" w:type="dxa"/>
              <w:right w:w="90" w:type="dxa"/>
            </w:tcMar>
            <w:vAlign w:val="center"/>
          </w:tcPr>
          <w:p w14:paraId="32F44F37" w14:textId="77777777" w:rsidR="0064473D" w:rsidRPr="005C36C3" w:rsidRDefault="003C3567">
            <w:pPr>
              <w:jc w:val="center"/>
              <w:rPr>
                <w:sz w:val="18"/>
                <w:szCs w:val="18"/>
              </w:rPr>
            </w:pPr>
            <w:r w:rsidRPr="005C36C3">
              <w:rPr>
                <w:sz w:val="18"/>
                <w:szCs w:val="18"/>
              </w:rPr>
              <w:t>70.00%</w:t>
            </w:r>
          </w:p>
        </w:tc>
        <w:tc>
          <w:tcPr>
            <w:tcW w:w="2493" w:type="dxa"/>
            <w:tcMar>
              <w:top w:w="80" w:type="dxa"/>
              <w:left w:w="90" w:type="dxa"/>
              <w:bottom w:w="80" w:type="dxa"/>
              <w:right w:w="90" w:type="dxa"/>
            </w:tcMar>
            <w:vAlign w:val="center"/>
          </w:tcPr>
          <w:p w14:paraId="618FC2E0" w14:textId="77777777" w:rsidR="0064473D" w:rsidRPr="005C36C3" w:rsidRDefault="003C3567">
            <w:pPr>
              <w:rPr>
                <w:sz w:val="18"/>
                <w:szCs w:val="18"/>
              </w:rPr>
            </w:pPr>
            <w:r w:rsidRPr="005C36C3">
              <w:rPr>
                <w:sz w:val="18"/>
                <w:szCs w:val="18"/>
              </w:rPr>
              <w:t>Free-text comments not supplied</w:t>
            </w:r>
          </w:p>
        </w:tc>
      </w:tr>
    </w:tbl>
    <w:p w14:paraId="33422639" w14:textId="77777777" w:rsidR="005C36C3" w:rsidRDefault="005C36C3" w:rsidP="005C36C3"/>
    <w:p w14:paraId="39ED0C36" w14:textId="0FE0963B" w:rsidR="0064473D" w:rsidRPr="005C36C3" w:rsidRDefault="003C3567" w:rsidP="006B5A3A">
      <w:pPr>
        <w:pStyle w:val="Heading1"/>
      </w:pPr>
      <w:r w:rsidRPr="005C36C3">
        <w:t>Bradley Stoke Resident-Only Analysis</w:t>
      </w:r>
    </w:p>
    <w:tbl>
      <w:tblPr>
        <w:tblW w:w="0" w:type="auto"/>
        <w:jc w:val="center"/>
        <w:tblBorders>
          <w:top w:val="single" w:sz="8" w:space="0" w:color="006B5F"/>
          <w:left w:val="single" w:sz="8" w:space="0" w:color="006B5F"/>
          <w:bottom w:val="single" w:sz="8" w:space="0" w:color="006B5F"/>
          <w:right w:val="single" w:sz="8" w:space="0" w:color="006B5F"/>
          <w:insideH w:val="single" w:sz="8" w:space="0" w:color="006B5F"/>
          <w:insideV w:val="single" w:sz="8" w:space="0" w:color="006B5F"/>
        </w:tblBorders>
        <w:tblLayout w:type="fixed"/>
        <w:tblLook w:val="04A0" w:firstRow="1" w:lastRow="0" w:firstColumn="1" w:lastColumn="0" w:noHBand="0" w:noVBand="1"/>
      </w:tblPr>
      <w:tblGrid>
        <w:gridCol w:w="9972"/>
      </w:tblGrid>
      <w:tr w:rsidR="0064473D" w14:paraId="7AD13D55" w14:textId="77777777">
        <w:trPr>
          <w:cantSplit/>
          <w:jc w:val="center"/>
        </w:trPr>
        <w:tc>
          <w:tcPr>
            <w:tcW w:w="9972" w:type="dxa"/>
            <w:shd w:val="clear" w:color="auto" w:fill="E8F1EF"/>
            <w:tcMar>
              <w:top w:w="140" w:type="dxa"/>
              <w:left w:w="170" w:type="dxa"/>
              <w:bottom w:w="140" w:type="dxa"/>
              <w:right w:w="170" w:type="dxa"/>
            </w:tcMar>
          </w:tcPr>
          <w:p w14:paraId="55FA3507" w14:textId="77777777" w:rsidR="0064473D" w:rsidRDefault="003C3567">
            <w:r>
              <w:rPr>
                <w:rFonts w:ascii="Aptos Display" w:hAnsi="Aptos Display"/>
                <w:b/>
                <w:color w:val="006B5F"/>
                <w:sz w:val="22"/>
              </w:rPr>
              <w:t>Why this analysis matters</w:t>
            </w:r>
            <w:r>
              <w:br/>
              <w:t>Of the 90 consultation participants, 75 confirmed that they live in Bradley Stoke. This resident-filtered analysis is particularly relevant to decisions involving the Town Council precept or public borrowing, because those costs would fall primarily on Bradley Stoke council tax payers. It should not, however, displace the views of non-resident users when Council considers sports provision, operational requirements or the wider catchment served by the facility.</w:t>
            </w:r>
          </w:p>
        </w:tc>
      </w:tr>
    </w:tbl>
    <w:p w14:paraId="482AE661" w14:textId="77777777" w:rsidR="0064473D" w:rsidRDefault="0064473D">
      <w:pPr>
        <w:spacing w:after="0"/>
      </w:pPr>
    </w:p>
    <w:p w14:paraId="30D504DC" w14:textId="77777777" w:rsidR="0064473D" w:rsidRDefault="003C3567">
      <w:pPr>
        <w:pStyle w:val="BodyText"/>
      </w:pPr>
      <w:r>
        <w:t>The resident-only results are not an independent second consultation. The 75 residents form 83.33% of the full sample, so the two datasets overlap heavily and are expected to produce broadly similar findings. Comparisons below identify where filtering materially changes the result; they are not tests of statistical significance and should not be presented as proof of a difference across the whole population.</w:t>
      </w:r>
    </w:p>
    <w:p w14:paraId="77283BCB" w14:textId="77777777" w:rsidR="0064473D" w:rsidRDefault="003C3567">
      <w:pPr>
        <w:pStyle w:val="Heading2"/>
      </w:pPr>
      <w:r>
        <w:t>Resident Participation and Profile</w:t>
      </w:r>
    </w:p>
    <w:p w14:paraId="5D8ACCB6" w14:textId="77777777" w:rsidR="0064473D" w:rsidRDefault="003C3567">
      <w:pPr>
        <w:pStyle w:val="BodyText"/>
      </w:pPr>
      <w:r>
        <w:t>The filtered export contains 75 respondents who answered yes when asked whether they live in Bradley Stoke. Within this group, 69 also selected “A Resident” when asked to describe their connection to the centre. Thirteen identified as regular users and 13 as members of a sports club; eight identified as parents or childcare users. Because this question allowed multiple answers, the percentages do not total 100%.</w:t>
      </w:r>
    </w:p>
    <w:p w14:paraId="30DC4699" w14:textId="77777777" w:rsidR="0064473D" w:rsidRDefault="003C3567">
      <w:pPr>
        <w:pStyle w:val="BodyText"/>
      </w:pPr>
      <w:r>
        <w:t>The fact that only 69 of the 75 filtered respondents selected the separate “A Resident” relationship category is a reminder that survey categories were self-selected and not always used consistently. For the purposes of this analysis, residence is determined solely by the explicit yes response to the residence question.</w:t>
      </w:r>
    </w:p>
    <w:p w14:paraId="0D8D2551" w14:textId="77777777" w:rsidR="0064473D" w:rsidRDefault="003C3567">
      <w:pPr>
        <w:pStyle w:val="Heading2"/>
      </w:pPr>
      <w:r>
        <w:t>Resident Use of the Centre</w:t>
      </w:r>
    </w:p>
    <w:p w14:paraId="7ADD3DB5" w14:textId="77777777" w:rsidR="0064473D" w:rsidRDefault="003C3567">
      <w:pPr>
        <w:pStyle w:val="BodyText"/>
      </w:pPr>
      <w:r>
        <w:t>Among Bradley Stoke respondents, 29.33% reported weekly use, compared with 40.00% in the full sample. A further 6.67% used the centre monthly, 16.00% occasionally and 20.00% rarely, while 29.33% said never. The published export records 76 selections from 75 resident respondents, mirroring the one-response discrepancy in the full export and requiring the same caution.</w:t>
      </w:r>
    </w:p>
    <w:p w14:paraId="14954C2E" w14:textId="77777777" w:rsidR="0064473D" w:rsidRDefault="003C3567">
      <w:pPr>
        <w:jc w:val="center"/>
      </w:pPr>
      <w:r>
        <w:rPr>
          <w:noProof/>
        </w:rPr>
        <w:drawing>
          <wp:inline distT="0" distB="0" distL="0" distR="0" wp14:anchorId="73974095" wp14:editId="0C9583C7">
            <wp:extent cx="5897880" cy="2830855"/>
            <wp:effectExtent l="0" t="0" r="0" b="0"/>
            <wp:docPr id="6" name="Picture 6" descr="Horizontal bar chart showing weekly and never use each at 29.33%, rarely at 20%, occasionally at 16%, and monthly at 6.67% among the resident-filtered sample." title="Resident usage frequ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resident_usage.png"/>
                    <pic:cNvPicPr/>
                  </pic:nvPicPr>
                  <pic:blipFill>
                    <a:blip r:embed="rId16"/>
                    <a:stretch>
                      <a:fillRect/>
                    </a:stretch>
                  </pic:blipFill>
                  <pic:spPr>
                    <a:xfrm>
                      <a:off x="0" y="0"/>
                      <a:ext cx="5897880" cy="2830855"/>
                    </a:xfrm>
                    <a:prstGeom prst="rect">
                      <a:avLst/>
                    </a:prstGeom>
                  </pic:spPr>
                </pic:pic>
              </a:graphicData>
            </a:graphic>
          </wp:inline>
        </w:drawing>
      </w:r>
    </w:p>
    <w:p w14:paraId="3E984B44" w14:textId="77777777" w:rsidR="0064473D" w:rsidRDefault="003C3567">
      <w:pPr>
        <w:spacing w:before="20" w:after="140"/>
        <w:jc w:val="center"/>
      </w:pPr>
      <w:r>
        <w:rPr>
          <w:i/>
          <w:color w:val="5B6B70"/>
          <w:sz w:val="16"/>
        </w:rPr>
        <w:t>Figure 6 - Frequency of use among respondents who confirmed that they live in Bradley Stoke.</w:t>
      </w:r>
    </w:p>
    <w:p w14:paraId="738C3F46" w14:textId="77777777" w:rsidR="0064473D" w:rsidRDefault="003C3567">
      <w:pPr>
        <w:pStyle w:val="BodyText"/>
      </w:pPr>
      <w:r>
        <w:t>Filtering materially changes the usage profile. By subtraction from the published whole-sample counts, respondents outside Bradley Stoke account for 14 of the 36 weekly-use selections and one of the six monthly selections. They also account for 12 of the 25 sports-club selections and eight of the 21 regular-user selections. This indicates that non-resident sports and regular users had a disproportionate influence on the full sample’s usage profile. This is relevant, but it does not make their views invalid: it shows that Council must distinguish between local taxpayer sentiment and the operational catchment of the facility.</w:t>
      </w:r>
    </w:p>
    <w:p w14:paraId="66645CE2" w14:textId="77777777" w:rsidR="0064473D" w:rsidRDefault="003C3567" w:rsidP="006B5A3A">
      <w:pPr>
        <w:pStyle w:val="Heading1"/>
      </w:pPr>
      <w:r>
        <w:t>Resident Assessment of Current and Future Value</w:t>
      </w:r>
    </w:p>
    <w:p w14:paraId="334C3F11" w14:textId="77777777" w:rsidR="0064473D" w:rsidRDefault="003C3567">
      <w:pPr>
        <w:pStyle w:val="BodyText"/>
      </w:pPr>
      <w:r>
        <w:t>Fifty-nine Bradley Stoke residents scored how well the current centre meets community needs. The resident average was 5.31 out of 10, almost identical to the full-sample score of 5.36. This reinforces the conclusion that the existing facility is viewed as only moderately effective.</w:t>
      </w:r>
    </w:p>
    <w:p w14:paraId="0F1C3769" w14:textId="77777777" w:rsidR="0064473D" w:rsidRDefault="003C3567">
      <w:pPr>
        <w:pStyle w:val="BodyText"/>
      </w:pPr>
      <w:r>
        <w:t>Fifty-seven residents scored the importance of Baileys Court remaining a long-term community facility at 8.42 out of 10. This is 0.30 points below the full-sample score of 8.72 but remains a strong result. The likelihood of using the centre more often following improvements scored 7.77 among residents, compared with 7.94 in the full sample. Resident support is therefore slightly less emphatic than the overall results, but the strategic signal remains clearly positive.</w:t>
      </w:r>
    </w:p>
    <w:p w14:paraId="48866E84" w14:textId="77777777" w:rsidR="0064473D" w:rsidRDefault="003C3567">
      <w:pPr>
        <w:jc w:val="center"/>
      </w:pPr>
      <w:r>
        <w:rPr>
          <w:noProof/>
        </w:rPr>
        <w:drawing>
          <wp:inline distT="0" distB="0" distL="0" distR="0" wp14:anchorId="5EED0F48" wp14:editId="47701A84">
            <wp:extent cx="5897880" cy="2325577"/>
            <wp:effectExtent l="0" t="0" r="0" b="0"/>
            <wp:docPr id="7" name="Picture 7" descr="Grouped horizontal bar chart comparing current facility, long-term importance, and likely increased use scores for all respondents and Bradley Stoke residents." title="Comparison of all respondent and resident sc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resident_scores_comparison.png"/>
                    <pic:cNvPicPr/>
                  </pic:nvPicPr>
                  <pic:blipFill>
                    <a:blip r:embed="rId17"/>
                    <a:stretch>
                      <a:fillRect/>
                    </a:stretch>
                  </pic:blipFill>
                  <pic:spPr>
                    <a:xfrm>
                      <a:off x="0" y="0"/>
                      <a:ext cx="5897880" cy="2325577"/>
                    </a:xfrm>
                    <a:prstGeom prst="rect">
                      <a:avLst/>
                    </a:prstGeom>
                  </pic:spPr>
                </pic:pic>
              </a:graphicData>
            </a:graphic>
          </wp:inline>
        </w:drawing>
      </w:r>
    </w:p>
    <w:p w14:paraId="684AA0B5" w14:textId="77777777" w:rsidR="0064473D" w:rsidRDefault="003C3567">
      <w:pPr>
        <w:spacing w:before="20" w:after="140"/>
        <w:jc w:val="center"/>
      </w:pPr>
      <w:r>
        <w:rPr>
          <w:i/>
          <w:color w:val="5B6B70"/>
          <w:sz w:val="16"/>
        </w:rPr>
        <w:t>Figure 7 - Comparison of strategic scores for the full sample and resident-filtered sample.</w:t>
      </w:r>
    </w:p>
    <w:p w14:paraId="12042908" w14:textId="77777777" w:rsidR="0064473D" w:rsidRDefault="003C3567">
      <w:pPr>
        <w:pStyle w:val="Heading2"/>
      </w:pPr>
      <w:r>
        <w:t>Resident Improvement Priorities</w:t>
      </w:r>
    </w:p>
    <w:p w14:paraId="44A6D340" w14:textId="77777777" w:rsidR="0064473D" w:rsidRDefault="003C3567">
      <w:pPr>
        <w:pStyle w:val="BodyText"/>
      </w:pPr>
      <w:r>
        <w:t>The resident-filtered priorities remain led by a café or social space, selected by 66.67%, and modern community halls, selected by 52.63%. Improved sports changing rooms ranked third at 36.84%, followed by a Changing Places toilet and upgraded kitchens, both at 31.58%. Sustainability and energy-efficiency upgrades were selected by 29.82%, improved external areas by 28.07%, and better accessibility facilities by 24.56%.</w:t>
      </w:r>
    </w:p>
    <w:p w14:paraId="4F0312B2" w14:textId="77777777" w:rsidR="0064473D" w:rsidRDefault="003C3567">
      <w:pPr>
        <w:jc w:val="center"/>
      </w:pPr>
      <w:r>
        <w:rPr>
          <w:noProof/>
        </w:rPr>
        <w:drawing>
          <wp:inline distT="0" distB="0" distL="0" distR="0" wp14:anchorId="32B6203B" wp14:editId="0FFF4EF4">
            <wp:extent cx="5897880" cy="3227193"/>
            <wp:effectExtent l="0" t="0" r="0" b="0"/>
            <wp:docPr id="8" name="Picture 8" descr="Horizontal bar chart of improvement priorities selected by Bradley Stoke residents, led by café or social space and modern community halls." title="Resident improvement prio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resident_priorities.png"/>
                    <pic:cNvPicPr/>
                  </pic:nvPicPr>
                  <pic:blipFill>
                    <a:blip r:embed="rId18"/>
                    <a:stretch>
                      <a:fillRect/>
                    </a:stretch>
                  </pic:blipFill>
                  <pic:spPr>
                    <a:xfrm>
                      <a:off x="0" y="0"/>
                      <a:ext cx="5897880" cy="3227193"/>
                    </a:xfrm>
                    <a:prstGeom prst="rect">
                      <a:avLst/>
                    </a:prstGeom>
                  </pic:spPr>
                </pic:pic>
              </a:graphicData>
            </a:graphic>
          </wp:inline>
        </w:drawing>
      </w:r>
    </w:p>
    <w:p w14:paraId="43F10557" w14:textId="77777777" w:rsidR="0064473D" w:rsidRDefault="003C3567">
      <w:pPr>
        <w:spacing w:before="20" w:after="140"/>
        <w:jc w:val="center"/>
      </w:pPr>
      <w:r>
        <w:rPr>
          <w:i/>
          <w:color w:val="5B6B70"/>
          <w:sz w:val="16"/>
        </w:rPr>
        <w:t>Figure 8 - Improvements selected by respondents living in Bradley Stoke.</w:t>
      </w:r>
    </w:p>
    <w:tbl>
      <w:tblPr>
        <w:tblW w:w="0" w:type="auto"/>
        <w:jc w:val="center"/>
        <w:tblBorders>
          <w:top w:val="single" w:sz="4" w:space="0" w:color="B7C7C4"/>
          <w:left w:val="single" w:sz="4" w:space="0" w:color="B7C7C4"/>
          <w:bottom w:val="single" w:sz="4" w:space="0" w:color="B7C7C4"/>
          <w:right w:val="single" w:sz="4" w:space="0" w:color="B7C7C4"/>
          <w:insideH w:val="single" w:sz="4" w:space="0" w:color="B7C7C4"/>
          <w:insideV w:val="single" w:sz="4" w:space="0" w:color="B7C7C4"/>
        </w:tblBorders>
        <w:tblLook w:val="04A0" w:firstRow="1" w:lastRow="0" w:firstColumn="1" w:lastColumn="0" w:noHBand="0" w:noVBand="1"/>
      </w:tblPr>
      <w:tblGrid>
        <w:gridCol w:w="2422"/>
        <w:gridCol w:w="2409"/>
        <w:gridCol w:w="2397"/>
        <w:gridCol w:w="2400"/>
      </w:tblGrid>
      <w:tr w:rsidR="0064473D" w14:paraId="20D0075F" w14:textId="77777777">
        <w:trPr>
          <w:tblHeader/>
          <w:jc w:val="center"/>
        </w:trPr>
        <w:tc>
          <w:tcPr>
            <w:tcW w:w="2493" w:type="dxa"/>
            <w:shd w:val="clear" w:color="auto" w:fill="006B5F"/>
            <w:tcMar>
              <w:top w:w="80" w:type="dxa"/>
              <w:left w:w="90" w:type="dxa"/>
              <w:bottom w:w="80" w:type="dxa"/>
              <w:right w:w="90" w:type="dxa"/>
            </w:tcMar>
            <w:vAlign w:val="center"/>
          </w:tcPr>
          <w:p w14:paraId="1066A9CF" w14:textId="77777777" w:rsidR="0064473D" w:rsidRDefault="003C3567">
            <w:r>
              <w:rPr>
                <w:b/>
                <w:color w:val="FFFFFF"/>
                <w:sz w:val="16"/>
              </w:rPr>
              <w:t>Improvement</w:t>
            </w:r>
          </w:p>
        </w:tc>
        <w:tc>
          <w:tcPr>
            <w:tcW w:w="2493" w:type="dxa"/>
            <w:shd w:val="clear" w:color="auto" w:fill="006B5F"/>
            <w:tcMar>
              <w:top w:w="80" w:type="dxa"/>
              <w:left w:w="90" w:type="dxa"/>
              <w:bottom w:w="80" w:type="dxa"/>
              <w:right w:w="90" w:type="dxa"/>
            </w:tcMar>
            <w:vAlign w:val="center"/>
          </w:tcPr>
          <w:p w14:paraId="4D8D1D73" w14:textId="77777777" w:rsidR="0064473D" w:rsidRDefault="003C3567">
            <w:r>
              <w:rPr>
                <w:b/>
                <w:color w:val="FFFFFF"/>
                <w:sz w:val="16"/>
              </w:rPr>
              <w:t>All respondents</w:t>
            </w:r>
          </w:p>
        </w:tc>
        <w:tc>
          <w:tcPr>
            <w:tcW w:w="2493" w:type="dxa"/>
            <w:shd w:val="clear" w:color="auto" w:fill="006B5F"/>
            <w:tcMar>
              <w:top w:w="80" w:type="dxa"/>
              <w:left w:w="90" w:type="dxa"/>
              <w:bottom w:w="80" w:type="dxa"/>
              <w:right w:w="90" w:type="dxa"/>
            </w:tcMar>
            <w:vAlign w:val="center"/>
          </w:tcPr>
          <w:p w14:paraId="39AFA7E8" w14:textId="77777777" w:rsidR="0064473D" w:rsidRDefault="003C3567">
            <w:r>
              <w:rPr>
                <w:b/>
                <w:color w:val="FFFFFF"/>
                <w:sz w:val="16"/>
              </w:rPr>
              <w:t>Residents</w:t>
            </w:r>
          </w:p>
        </w:tc>
        <w:tc>
          <w:tcPr>
            <w:tcW w:w="2493" w:type="dxa"/>
            <w:shd w:val="clear" w:color="auto" w:fill="006B5F"/>
            <w:tcMar>
              <w:top w:w="80" w:type="dxa"/>
              <w:left w:w="90" w:type="dxa"/>
              <w:bottom w:w="80" w:type="dxa"/>
              <w:right w:w="90" w:type="dxa"/>
            </w:tcMar>
            <w:vAlign w:val="center"/>
          </w:tcPr>
          <w:p w14:paraId="22C95509" w14:textId="77777777" w:rsidR="0064473D" w:rsidRDefault="003C3567">
            <w:r>
              <w:rPr>
                <w:b/>
                <w:color w:val="FFFFFF"/>
                <w:sz w:val="16"/>
              </w:rPr>
              <w:t>Difference</w:t>
            </w:r>
          </w:p>
        </w:tc>
      </w:tr>
      <w:tr w:rsidR="0064473D" w14:paraId="3FE2B4D5" w14:textId="77777777">
        <w:trPr>
          <w:jc w:val="center"/>
        </w:trPr>
        <w:tc>
          <w:tcPr>
            <w:tcW w:w="2493" w:type="dxa"/>
            <w:tcMar>
              <w:top w:w="80" w:type="dxa"/>
              <w:left w:w="90" w:type="dxa"/>
              <w:bottom w:w="80" w:type="dxa"/>
              <w:right w:w="90" w:type="dxa"/>
            </w:tcMar>
            <w:vAlign w:val="center"/>
          </w:tcPr>
          <w:p w14:paraId="67B79DD4" w14:textId="77777777" w:rsidR="0064473D" w:rsidRPr="005C36C3" w:rsidRDefault="003C3567">
            <w:pPr>
              <w:rPr>
                <w:sz w:val="18"/>
                <w:szCs w:val="18"/>
              </w:rPr>
            </w:pPr>
            <w:r w:rsidRPr="005C36C3">
              <w:rPr>
                <w:b/>
                <w:sz w:val="18"/>
                <w:szCs w:val="18"/>
              </w:rPr>
              <w:t>Café / social space</w:t>
            </w:r>
          </w:p>
        </w:tc>
        <w:tc>
          <w:tcPr>
            <w:tcW w:w="2493" w:type="dxa"/>
            <w:tcMar>
              <w:top w:w="80" w:type="dxa"/>
              <w:left w:w="90" w:type="dxa"/>
              <w:bottom w:w="80" w:type="dxa"/>
              <w:right w:w="90" w:type="dxa"/>
            </w:tcMar>
            <w:vAlign w:val="center"/>
          </w:tcPr>
          <w:p w14:paraId="0A2EB173" w14:textId="77777777" w:rsidR="0064473D" w:rsidRPr="005C36C3" w:rsidRDefault="003C3567">
            <w:pPr>
              <w:jc w:val="center"/>
              <w:rPr>
                <w:sz w:val="18"/>
                <w:szCs w:val="18"/>
              </w:rPr>
            </w:pPr>
            <w:r w:rsidRPr="005C36C3">
              <w:rPr>
                <w:sz w:val="18"/>
                <w:szCs w:val="18"/>
              </w:rPr>
              <w:t>63.38%</w:t>
            </w:r>
          </w:p>
        </w:tc>
        <w:tc>
          <w:tcPr>
            <w:tcW w:w="2493" w:type="dxa"/>
            <w:tcMar>
              <w:top w:w="80" w:type="dxa"/>
              <w:left w:w="90" w:type="dxa"/>
              <w:bottom w:w="80" w:type="dxa"/>
              <w:right w:w="90" w:type="dxa"/>
            </w:tcMar>
            <w:vAlign w:val="center"/>
          </w:tcPr>
          <w:p w14:paraId="3C5A3DAD" w14:textId="77777777" w:rsidR="0064473D" w:rsidRPr="005C36C3" w:rsidRDefault="003C3567">
            <w:pPr>
              <w:jc w:val="center"/>
              <w:rPr>
                <w:sz w:val="18"/>
                <w:szCs w:val="18"/>
              </w:rPr>
            </w:pPr>
            <w:r w:rsidRPr="005C36C3">
              <w:rPr>
                <w:sz w:val="18"/>
                <w:szCs w:val="18"/>
              </w:rPr>
              <w:t>66.67%</w:t>
            </w:r>
          </w:p>
        </w:tc>
        <w:tc>
          <w:tcPr>
            <w:tcW w:w="2493" w:type="dxa"/>
            <w:tcMar>
              <w:top w:w="80" w:type="dxa"/>
              <w:left w:w="90" w:type="dxa"/>
              <w:bottom w:w="80" w:type="dxa"/>
              <w:right w:w="90" w:type="dxa"/>
            </w:tcMar>
            <w:vAlign w:val="center"/>
          </w:tcPr>
          <w:p w14:paraId="6CFCF8D3" w14:textId="77777777" w:rsidR="0064473D" w:rsidRPr="005C36C3" w:rsidRDefault="003C3567">
            <w:pPr>
              <w:jc w:val="center"/>
              <w:rPr>
                <w:sz w:val="18"/>
                <w:szCs w:val="18"/>
              </w:rPr>
            </w:pPr>
            <w:r w:rsidRPr="005C36C3">
              <w:rPr>
                <w:sz w:val="18"/>
                <w:szCs w:val="18"/>
              </w:rPr>
              <w:t>+3.29 pp</w:t>
            </w:r>
          </w:p>
        </w:tc>
      </w:tr>
      <w:tr w:rsidR="0064473D" w14:paraId="1E28B6EE" w14:textId="77777777">
        <w:trPr>
          <w:jc w:val="center"/>
        </w:trPr>
        <w:tc>
          <w:tcPr>
            <w:tcW w:w="2493" w:type="dxa"/>
            <w:tcMar>
              <w:top w:w="80" w:type="dxa"/>
              <w:left w:w="90" w:type="dxa"/>
              <w:bottom w:w="80" w:type="dxa"/>
              <w:right w:w="90" w:type="dxa"/>
            </w:tcMar>
            <w:vAlign w:val="center"/>
          </w:tcPr>
          <w:p w14:paraId="774024B8" w14:textId="77777777" w:rsidR="0064473D" w:rsidRPr="005C36C3" w:rsidRDefault="003C3567">
            <w:pPr>
              <w:rPr>
                <w:sz w:val="18"/>
                <w:szCs w:val="18"/>
              </w:rPr>
            </w:pPr>
            <w:r w:rsidRPr="005C36C3">
              <w:rPr>
                <w:b/>
                <w:sz w:val="18"/>
                <w:szCs w:val="18"/>
              </w:rPr>
              <w:t>Modern community halls</w:t>
            </w:r>
          </w:p>
        </w:tc>
        <w:tc>
          <w:tcPr>
            <w:tcW w:w="2493" w:type="dxa"/>
            <w:tcMar>
              <w:top w:w="80" w:type="dxa"/>
              <w:left w:w="90" w:type="dxa"/>
              <w:bottom w:w="80" w:type="dxa"/>
              <w:right w:w="90" w:type="dxa"/>
            </w:tcMar>
            <w:vAlign w:val="center"/>
          </w:tcPr>
          <w:p w14:paraId="72CDA2C6" w14:textId="77777777" w:rsidR="0064473D" w:rsidRPr="005C36C3" w:rsidRDefault="003C3567">
            <w:pPr>
              <w:jc w:val="center"/>
              <w:rPr>
                <w:sz w:val="18"/>
                <w:szCs w:val="18"/>
              </w:rPr>
            </w:pPr>
            <w:r w:rsidRPr="005C36C3">
              <w:rPr>
                <w:sz w:val="18"/>
                <w:szCs w:val="18"/>
              </w:rPr>
              <w:t>50.70%</w:t>
            </w:r>
          </w:p>
        </w:tc>
        <w:tc>
          <w:tcPr>
            <w:tcW w:w="2493" w:type="dxa"/>
            <w:tcMar>
              <w:top w:w="80" w:type="dxa"/>
              <w:left w:w="90" w:type="dxa"/>
              <w:bottom w:w="80" w:type="dxa"/>
              <w:right w:w="90" w:type="dxa"/>
            </w:tcMar>
            <w:vAlign w:val="center"/>
          </w:tcPr>
          <w:p w14:paraId="55EA708D" w14:textId="77777777" w:rsidR="0064473D" w:rsidRPr="005C36C3" w:rsidRDefault="003C3567">
            <w:pPr>
              <w:jc w:val="center"/>
              <w:rPr>
                <w:sz w:val="18"/>
                <w:szCs w:val="18"/>
              </w:rPr>
            </w:pPr>
            <w:r w:rsidRPr="005C36C3">
              <w:rPr>
                <w:sz w:val="18"/>
                <w:szCs w:val="18"/>
              </w:rPr>
              <w:t>52.63%</w:t>
            </w:r>
          </w:p>
        </w:tc>
        <w:tc>
          <w:tcPr>
            <w:tcW w:w="2493" w:type="dxa"/>
            <w:tcMar>
              <w:top w:w="80" w:type="dxa"/>
              <w:left w:w="90" w:type="dxa"/>
              <w:bottom w:w="80" w:type="dxa"/>
              <w:right w:w="90" w:type="dxa"/>
            </w:tcMar>
            <w:vAlign w:val="center"/>
          </w:tcPr>
          <w:p w14:paraId="1DECBD59" w14:textId="77777777" w:rsidR="0064473D" w:rsidRPr="005C36C3" w:rsidRDefault="003C3567">
            <w:pPr>
              <w:jc w:val="center"/>
              <w:rPr>
                <w:sz w:val="18"/>
                <w:szCs w:val="18"/>
              </w:rPr>
            </w:pPr>
            <w:r w:rsidRPr="005C36C3">
              <w:rPr>
                <w:sz w:val="18"/>
                <w:szCs w:val="18"/>
              </w:rPr>
              <w:t>+1.93 pp</w:t>
            </w:r>
          </w:p>
        </w:tc>
      </w:tr>
      <w:tr w:rsidR="0064473D" w14:paraId="5203E27F" w14:textId="77777777">
        <w:trPr>
          <w:jc w:val="center"/>
        </w:trPr>
        <w:tc>
          <w:tcPr>
            <w:tcW w:w="2493" w:type="dxa"/>
            <w:tcMar>
              <w:top w:w="80" w:type="dxa"/>
              <w:left w:w="90" w:type="dxa"/>
              <w:bottom w:w="80" w:type="dxa"/>
              <w:right w:w="90" w:type="dxa"/>
            </w:tcMar>
            <w:vAlign w:val="center"/>
          </w:tcPr>
          <w:p w14:paraId="1AFE99C3" w14:textId="77777777" w:rsidR="0064473D" w:rsidRPr="005C36C3" w:rsidRDefault="003C3567">
            <w:pPr>
              <w:rPr>
                <w:sz w:val="18"/>
                <w:szCs w:val="18"/>
              </w:rPr>
            </w:pPr>
            <w:r w:rsidRPr="005C36C3">
              <w:rPr>
                <w:b/>
                <w:sz w:val="18"/>
                <w:szCs w:val="18"/>
              </w:rPr>
              <w:t>Improved sports changing rooms</w:t>
            </w:r>
          </w:p>
        </w:tc>
        <w:tc>
          <w:tcPr>
            <w:tcW w:w="2493" w:type="dxa"/>
            <w:tcMar>
              <w:top w:w="80" w:type="dxa"/>
              <w:left w:w="90" w:type="dxa"/>
              <w:bottom w:w="80" w:type="dxa"/>
              <w:right w:w="90" w:type="dxa"/>
            </w:tcMar>
            <w:vAlign w:val="center"/>
          </w:tcPr>
          <w:p w14:paraId="345D8464" w14:textId="77777777" w:rsidR="0064473D" w:rsidRPr="005C36C3" w:rsidRDefault="003C3567">
            <w:pPr>
              <w:jc w:val="center"/>
              <w:rPr>
                <w:sz w:val="18"/>
                <w:szCs w:val="18"/>
              </w:rPr>
            </w:pPr>
            <w:r w:rsidRPr="005C36C3">
              <w:rPr>
                <w:sz w:val="18"/>
                <w:szCs w:val="18"/>
              </w:rPr>
              <w:t>42.25%</w:t>
            </w:r>
          </w:p>
        </w:tc>
        <w:tc>
          <w:tcPr>
            <w:tcW w:w="2493" w:type="dxa"/>
            <w:tcMar>
              <w:top w:w="80" w:type="dxa"/>
              <w:left w:w="90" w:type="dxa"/>
              <w:bottom w:w="80" w:type="dxa"/>
              <w:right w:w="90" w:type="dxa"/>
            </w:tcMar>
            <w:vAlign w:val="center"/>
          </w:tcPr>
          <w:p w14:paraId="02ACACCD" w14:textId="77777777" w:rsidR="0064473D" w:rsidRPr="005C36C3" w:rsidRDefault="003C3567">
            <w:pPr>
              <w:jc w:val="center"/>
              <w:rPr>
                <w:sz w:val="18"/>
                <w:szCs w:val="18"/>
              </w:rPr>
            </w:pPr>
            <w:r w:rsidRPr="005C36C3">
              <w:rPr>
                <w:sz w:val="18"/>
                <w:szCs w:val="18"/>
              </w:rPr>
              <w:t>36.84%</w:t>
            </w:r>
          </w:p>
        </w:tc>
        <w:tc>
          <w:tcPr>
            <w:tcW w:w="2493" w:type="dxa"/>
            <w:tcMar>
              <w:top w:w="80" w:type="dxa"/>
              <w:left w:w="90" w:type="dxa"/>
              <w:bottom w:w="80" w:type="dxa"/>
              <w:right w:w="90" w:type="dxa"/>
            </w:tcMar>
            <w:vAlign w:val="center"/>
          </w:tcPr>
          <w:p w14:paraId="356DD7FD" w14:textId="77777777" w:rsidR="0064473D" w:rsidRPr="005C36C3" w:rsidRDefault="003C3567">
            <w:pPr>
              <w:jc w:val="center"/>
              <w:rPr>
                <w:sz w:val="18"/>
                <w:szCs w:val="18"/>
              </w:rPr>
            </w:pPr>
            <w:r w:rsidRPr="005C36C3">
              <w:rPr>
                <w:sz w:val="18"/>
                <w:szCs w:val="18"/>
              </w:rPr>
              <w:t>-5.41 pp</w:t>
            </w:r>
          </w:p>
        </w:tc>
      </w:tr>
      <w:tr w:rsidR="0064473D" w14:paraId="3C6E584A" w14:textId="77777777">
        <w:trPr>
          <w:jc w:val="center"/>
        </w:trPr>
        <w:tc>
          <w:tcPr>
            <w:tcW w:w="2493" w:type="dxa"/>
            <w:tcMar>
              <w:top w:w="80" w:type="dxa"/>
              <w:left w:w="90" w:type="dxa"/>
              <w:bottom w:w="80" w:type="dxa"/>
              <w:right w:w="90" w:type="dxa"/>
            </w:tcMar>
            <w:vAlign w:val="center"/>
          </w:tcPr>
          <w:p w14:paraId="7A150DF5" w14:textId="77777777" w:rsidR="0064473D" w:rsidRPr="005C36C3" w:rsidRDefault="003C3567">
            <w:pPr>
              <w:rPr>
                <w:sz w:val="18"/>
                <w:szCs w:val="18"/>
              </w:rPr>
            </w:pPr>
            <w:r w:rsidRPr="005C36C3">
              <w:rPr>
                <w:b/>
                <w:sz w:val="18"/>
                <w:szCs w:val="18"/>
              </w:rPr>
              <w:t>Upgraded kitchens</w:t>
            </w:r>
          </w:p>
        </w:tc>
        <w:tc>
          <w:tcPr>
            <w:tcW w:w="2493" w:type="dxa"/>
            <w:tcMar>
              <w:top w:w="80" w:type="dxa"/>
              <w:left w:w="90" w:type="dxa"/>
              <w:bottom w:w="80" w:type="dxa"/>
              <w:right w:w="90" w:type="dxa"/>
            </w:tcMar>
            <w:vAlign w:val="center"/>
          </w:tcPr>
          <w:p w14:paraId="14C55875" w14:textId="77777777" w:rsidR="0064473D" w:rsidRPr="005C36C3" w:rsidRDefault="003C3567">
            <w:pPr>
              <w:jc w:val="center"/>
              <w:rPr>
                <w:sz w:val="18"/>
                <w:szCs w:val="18"/>
              </w:rPr>
            </w:pPr>
            <w:r w:rsidRPr="005C36C3">
              <w:rPr>
                <w:sz w:val="18"/>
                <w:szCs w:val="18"/>
              </w:rPr>
              <w:t>36.62%</w:t>
            </w:r>
          </w:p>
        </w:tc>
        <w:tc>
          <w:tcPr>
            <w:tcW w:w="2493" w:type="dxa"/>
            <w:tcMar>
              <w:top w:w="80" w:type="dxa"/>
              <w:left w:w="90" w:type="dxa"/>
              <w:bottom w:w="80" w:type="dxa"/>
              <w:right w:w="90" w:type="dxa"/>
            </w:tcMar>
            <w:vAlign w:val="center"/>
          </w:tcPr>
          <w:p w14:paraId="71DF3C12" w14:textId="77777777" w:rsidR="0064473D" w:rsidRPr="005C36C3" w:rsidRDefault="003C3567">
            <w:pPr>
              <w:jc w:val="center"/>
              <w:rPr>
                <w:sz w:val="18"/>
                <w:szCs w:val="18"/>
              </w:rPr>
            </w:pPr>
            <w:r w:rsidRPr="005C36C3">
              <w:rPr>
                <w:sz w:val="18"/>
                <w:szCs w:val="18"/>
              </w:rPr>
              <w:t>31.58%</w:t>
            </w:r>
          </w:p>
        </w:tc>
        <w:tc>
          <w:tcPr>
            <w:tcW w:w="2493" w:type="dxa"/>
            <w:tcMar>
              <w:top w:w="80" w:type="dxa"/>
              <w:left w:w="90" w:type="dxa"/>
              <w:bottom w:w="80" w:type="dxa"/>
              <w:right w:w="90" w:type="dxa"/>
            </w:tcMar>
            <w:vAlign w:val="center"/>
          </w:tcPr>
          <w:p w14:paraId="1C1067E4" w14:textId="77777777" w:rsidR="0064473D" w:rsidRPr="005C36C3" w:rsidRDefault="003C3567">
            <w:pPr>
              <w:jc w:val="center"/>
              <w:rPr>
                <w:sz w:val="18"/>
                <w:szCs w:val="18"/>
              </w:rPr>
            </w:pPr>
            <w:r w:rsidRPr="005C36C3">
              <w:rPr>
                <w:sz w:val="18"/>
                <w:szCs w:val="18"/>
              </w:rPr>
              <w:t>-5.04 pp</w:t>
            </w:r>
          </w:p>
        </w:tc>
      </w:tr>
      <w:tr w:rsidR="0064473D" w14:paraId="6C79C964" w14:textId="77777777">
        <w:trPr>
          <w:jc w:val="center"/>
        </w:trPr>
        <w:tc>
          <w:tcPr>
            <w:tcW w:w="2493" w:type="dxa"/>
            <w:tcMar>
              <w:top w:w="80" w:type="dxa"/>
              <w:left w:w="90" w:type="dxa"/>
              <w:bottom w:w="80" w:type="dxa"/>
              <w:right w:w="90" w:type="dxa"/>
            </w:tcMar>
            <w:vAlign w:val="center"/>
          </w:tcPr>
          <w:p w14:paraId="703DED24" w14:textId="77777777" w:rsidR="0064473D" w:rsidRPr="005C36C3" w:rsidRDefault="003C3567">
            <w:pPr>
              <w:rPr>
                <w:sz w:val="18"/>
                <w:szCs w:val="18"/>
              </w:rPr>
            </w:pPr>
            <w:r w:rsidRPr="005C36C3">
              <w:rPr>
                <w:b/>
                <w:sz w:val="18"/>
                <w:szCs w:val="18"/>
              </w:rPr>
              <w:t>Changing Places toilet</w:t>
            </w:r>
          </w:p>
        </w:tc>
        <w:tc>
          <w:tcPr>
            <w:tcW w:w="2493" w:type="dxa"/>
            <w:tcMar>
              <w:top w:w="80" w:type="dxa"/>
              <w:left w:w="90" w:type="dxa"/>
              <w:bottom w:w="80" w:type="dxa"/>
              <w:right w:w="90" w:type="dxa"/>
            </w:tcMar>
            <w:vAlign w:val="center"/>
          </w:tcPr>
          <w:p w14:paraId="12BF6B40" w14:textId="77777777" w:rsidR="0064473D" w:rsidRPr="005C36C3" w:rsidRDefault="003C3567">
            <w:pPr>
              <w:jc w:val="center"/>
              <w:rPr>
                <w:sz w:val="18"/>
                <w:szCs w:val="18"/>
              </w:rPr>
            </w:pPr>
            <w:r w:rsidRPr="005C36C3">
              <w:rPr>
                <w:sz w:val="18"/>
                <w:szCs w:val="18"/>
              </w:rPr>
              <w:t>33.80%</w:t>
            </w:r>
          </w:p>
        </w:tc>
        <w:tc>
          <w:tcPr>
            <w:tcW w:w="2493" w:type="dxa"/>
            <w:tcMar>
              <w:top w:w="80" w:type="dxa"/>
              <w:left w:w="90" w:type="dxa"/>
              <w:bottom w:w="80" w:type="dxa"/>
              <w:right w:w="90" w:type="dxa"/>
            </w:tcMar>
            <w:vAlign w:val="center"/>
          </w:tcPr>
          <w:p w14:paraId="548242C0" w14:textId="77777777" w:rsidR="0064473D" w:rsidRPr="005C36C3" w:rsidRDefault="003C3567">
            <w:pPr>
              <w:jc w:val="center"/>
              <w:rPr>
                <w:sz w:val="18"/>
                <w:szCs w:val="18"/>
              </w:rPr>
            </w:pPr>
            <w:r w:rsidRPr="005C36C3">
              <w:rPr>
                <w:sz w:val="18"/>
                <w:szCs w:val="18"/>
              </w:rPr>
              <w:t>31.58%</w:t>
            </w:r>
          </w:p>
        </w:tc>
        <w:tc>
          <w:tcPr>
            <w:tcW w:w="2493" w:type="dxa"/>
            <w:tcMar>
              <w:top w:w="80" w:type="dxa"/>
              <w:left w:w="90" w:type="dxa"/>
              <w:bottom w:w="80" w:type="dxa"/>
              <w:right w:w="90" w:type="dxa"/>
            </w:tcMar>
            <w:vAlign w:val="center"/>
          </w:tcPr>
          <w:p w14:paraId="2447AB0D" w14:textId="77777777" w:rsidR="0064473D" w:rsidRPr="005C36C3" w:rsidRDefault="003C3567">
            <w:pPr>
              <w:jc w:val="center"/>
              <w:rPr>
                <w:sz w:val="18"/>
                <w:szCs w:val="18"/>
              </w:rPr>
            </w:pPr>
            <w:r w:rsidRPr="005C36C3">
              <w:rPr>
                <w:sz w:val="18"/>
                <w:szCs w:val="18"/>
              </w:rPr>
              <w:t>-2.22 pp</w:t>
            </w:r>
          </w:p>
        </w:tc>
      </w:tr>
      <w:tr w:rsidR="0064473D" w14:paraId="0F8A3C64" w14:textId="77777777">
        <w:trPr>
          <w:jc w:val="center"/>
        </w:trPr>
        <w:tc>
          <w:tcPr>
            <w:tcW w:w="2493" w:type="dxa"/>
            <w:tcMar>
              <w:top w:w="80" w:type="dxa"/>
              <w:left w:w="90" w:type="dxa"/>
              <w:bottom w:w="80" w:type="dxa"/>
              <w:right w:w="90" w:type="dxa"/>
            </w:tcMar>
            <w:vAlign w:val="center"/>
          </w:tcPr>
          <w:p w14:paraId="172FFFF6" w14:textId="77777777" w:rsidR="0064473D" w:rsidRPr="005C36C3" w:rsidRDefault="003C3567">
            <w:pPr>
              <w:rPr>
                <w:sz w:val="18"/>
                <w:szCs w:val="18"/>
              </w:rPr>
            </w:pPr>
            <w:r w:rsidRPr="005C36C3">
              <w:rPr>
                <w:b/>
                <w:sz w:val="18"/>
                <w:szCs w:val="18"/>
              </w:rPr>
              <w:t>Sustainability / energy efficiency</w:t>
            </w:r>
          </w:p>
        </w:tc>
        <w:tc>
          <w:tcPr>
            <w:tcW w:w="2493" w:type="dxa"/>
            <w:tcMar>
              <w:top w:w="80" w:type="dxa"/>
              <w:left w:w="90" w:type="dxa"/>
              <w:bottom w:w="80" w:type="dxa"/>
              <w:right w:w="90" w:type="dxa"/>
            </w:tcMar>
            <w:vAlign w:val="center"/>
          </w:tcPr>
          <w:p w14:paraId="277B32F2" w14:textId="77777777" w:rsidR="0064473D" w:rsidRPr="005C36C3" w:rsidRDefault="003C3567">
            <w:pPr>
              <w:jc w:val="center"/>
              <w:rPr>
                <w:sz w:val="18"/>
                <w:szCs w:val="18"/>
              </w:rPr>
            </w:pPr>
            <w:r w:rsidRPr="005C36C3">
              <w:rPr>
                <w:sz w:val="18"/>
                <w:szCs w:val="18"/>
              </w:rPr>
              <w:t>29.58%</w:t>
            </w:r>
          </w:p>
        </w:tc>
        <w:tc>
          <w:tcPr>
            <w:tcW w:w="2493" w:type="dxa"/>
            <w:tcMar>
              <w:top w:w="80" w:type="dxa"/>
              <w:left w:w="90" w:type="dxa"/>
              <w:bottom w:w="80" w:type="dxa"/>
              <w:right w:w="90" w:type="dxa"/>
            </w:tcMar>
            <w:vAlign w:val="center"/>
          </w:tcPr>
          <w:p w14:paraId="3C5E38B1" w14:textId="77777777" w:rsidR="0064473D" w:rsidRPr="005C36C3" w:rsidRDefault="003C3567">
            <w:pPr>
              <w:jc w:val="center"/>
              <w:rPr>
                <w:sz w:val="18"/>
                <w:szCs w:val="18"/>
              </w:rPr>
            </w:pPr>
            <w:r w:rsidRPr="005C36C3">
              <w:rPr>
                <w:sz w:val="18"/>
                <w:szCs w:val="18"/>
              </w:rPr>
              <w:t>29.82%</w:t>
            </w:r>
          </w:p>
        </w:tc>
        <w:tc>
          <w:tcPr>
            <w:tcW w:w="2493" w:type="dxa"/>
            <w:tcMar>
              <w:top w:w="80" w:type="dxa"/>
              <w:left w:w="90" w:type="dxa"/>
              <w:bottom w:w="80" w:type="dxa"/>
              <w:right w:w="90" w:type="dxa"/>
            </w:tcMar>
            <w:vAlign w:val="center"/>
          </w:tcPr>
          <w:p w14:paraId="05B1C2C9" w14:textId="77777777" w:rsidR="0064473D" w:rsidRPr="005C36C3" w:rsidRDefault="003C3567">
            <w:pPr>
              <w:jc w:val="center"/>
              <w:rPr>
                <w:sz w:val="18"/>
                <w:szCs w:val="18"/>
              </w:rPr>
            </w:pPr>
            <w:r w:rsidRPr="005C36C3">
              <w:rPr>
                <w:sz w:val="18"/>
                <w:szCs w:val="18"/>
              </w:rPr>
              <w:t>+0.24 pp</w:t>
            </w:r>
          </w:p>
        </w:tc>
      </w:tr>
      <w:tr w:rsidR="0064473D" w14:paraId="4001D9B2" w14:textId="77777777">
        <w:trPr>
          <w:jc w:val="center"/>
        </w:trPr>
        <w:tc>
          <w:tcPr>
            <w:tcW w:w="2493" w:type="dxa"/>
            <w:tcMar>
              <w:top w:w="80" w:type="dxa"/>
              <w:left w:w="90" w:type="dxa"/>
              <w:bottom w:w="80" w:type="dxa"/>
              <w:right w:w="90" w:type="dxa"/>
            </w:tcMar>
            <w:vAlign w:val="center"/>
          </w:tcPr>
          <w:p w14:paraId="453B719D" w14:textId="77777777" w:rsidR="0064473D" w:rsidRPr="005C36C3" w:rsidRDefault="003C3567">
            <w:pPr>
              <w:rPr>
                <w:sz w:val="18"/>
                <w:szCs w:val="18"/>
              </w:rPr>
            </w:pPr>
            <w:r w:rsidRPr="005C36C3">
              <w:rPr>
                <w:b/>
                <w:sz w:val="18"/>
                <w:szCs w:val="18"/>
              </w:rPr>
              <w:t>Improved external areas</w:t>
            </w:r>
          </w:p>
        </w:tc>
        <w:tc>
          <w:tcPr>
            <w:tcW w:w="2493" w:type="dxa"/>
            <w:tcMar>
              <w:top w:w="80" w:type="dxa"/>
              <w:left w:w="90" w:type="dxa"/>
              <w:bottom w:w="80" w:type="dxa"/>
              <w:right w:w="90" w:type="dxa"/>
            </w:tcMar>
            <w:vAlign w:val="center"/>
          </w:tcPr>
          <w:p w14:paraId="14827119" w14:textId="77777777" w:rsidR="0064473D" w:rsidRPr="005C36C3" w:rsidRDefault="003C3567">
            <w:pPr>
              <w:jc w:val="center"/>
              <w:rPr>
                <w:sz w:val="18"/>
                <w:szCs w:val="18"/>
              </w:rPr>
            </w:pPr>
            <w:r w:rsidRPr="005C36C3">
              <w:rPr>
                <w:sz w:val="18"/>
                <w:szCs w:val="18"/>
              </w:rPr>
              <w:t>26.76%</w:t>
            </w:r>
          </w:p>
        </w:tc>
        <w:tc>
          <w:tcPr>
            <w:tcW w:w="2493" w:type="dxa"/>
            <w:tcMar>
              <w:top w:w="80" w:type="dxa"/>
              <w:left w:w="90" w:type="dxa"/>
              <w:bottom w:w="80" w:type="dxa"/>
              <w:right w:w="90" w:type="dxa"/>
            </w:tcMar>
            <w:vAlign w:val="center"/>
          </w:tcPr>
          <w:p w14:paraId="6B39967C" w14:textId="77777777" w:rsidR="0064473D" w:rsidRPr="005C36C3" w:rsidRDefault="003C3567">
            <w:pPr>
              <w:jc w:val="center"/>
              <w:rPr>
                <w:sz w:val="18"/>
                <w:szCs w:val="18"/>
              </w:rPr>
            </w:pPr>
            <w:r w:rsidRPr="005C36C3">
              <w:rPr>
                <w:sz w:val="18"/>
                <w:szCs w:val="18"/>
              </w:rPr>
              <w:t>28.07%</w:t>
            </w:r>
          </w:p>
        </w:tc>
        <w:tc>
          <w:tcPr>
            <w:tcW w:w="2493" w:type="dxa"/>
            <w:tcMar>
              <w:top w:w="80" w:type="dxa"/>
              <w:left w:w="90" w:type="dxa"/>
              <w:bottom w:w="80" w:type="dxa"/>
              <w:right w:w="90" w:type="dxa"/>
            </w:tcMar>
            <w:vAlign w:val="center"/>
          </w:tcPr>
          <w:p w14:paraId="1B4EFB0D" w14:textId="77777777" w:rsidR="0064473D" w:rsidRPr="005C36C3" w:rsidRDefault="003C3567">
            <w:pPr>
              <w:jc w:val="center"/>
              <w:rPr>
                <w:sz w:val="18"/>
                <w:szCs w:val="18"/>
              </w:rPr>
            </w:pPr>
            <w:r w:rsidRPr="005C36C3">
              <w:rPr>
                <w:sz w:val="18"/>
                <w:szCs w:val="18"/>
              </w:rPr>
              <w:t>+1.31 pp</w:t>
            </w:r>
          </w:p>
        </w:tc>
      </w:tr>
      <w:tr w:rsidR="0064473D" w14:paraId="4B41779B" w14:textId="77777777">
        <w:trPr>
          <w:jc w:val="center"/>
        </w:trPr>
        <w:tc>
          <w:tcPr>
            <w:tcW w:w="2493" w:type="dxa"/>
            <w:tcMar>
              <w:top w:w="80" w:type="dxa"/>
              <w:left w:w="90" w:type="dxa"/>
              <w:bottom w:w="80" w:type="dxa"/>
              <w:right w:w="90" w:type="dxa"/>
            </w:tcMar>
            <w:vAlign w:val="center"/>
          </w:tcPr>
          <w:p w14:paraId="22094F71" w14:textId="77777777" w:rsidR="0064473D" w:rsidRPr="005C36C3" w:rsidRDefault="003C3567">
            <w:pPr>
              <w:rPr>
                <w:sz w:val="18"/>
                <w:szCs w:val="18"/>
              </w:rPr>
            </w:pPr>
            <w:r w:rsidRPr="005C36C3">
              <w:rPr>
                <w:b/>
                <w:sz w:val="18"/>
                <w:szCs w:val="18"/>
              </w:rPr>
              <w:t>Better accessibility facilities</w:t>
            </w:r>
          </w:p>
        </w:tc>
        <w:tc>
          <w:tcPr>
            <w:tcW w:w="2493" w:type="dxa"/>
            <w:tcMar>
              <w:top w:w="80" w:type="dxa"/>
              <w:left w:w="90" w:type="dxa"/>
              <w:bottom w:w="80" w:type="dxa"/>
              <w:right w:w="90" w:type="dxa"/>
            </w:tcMar>
            <w:vAlign w:val="center"/>
          </w:tcPr>
          <w:p w14:paraId="5A396A5B" w14:textId="77777777" w:rsidR="0064473D" w:rsidRPr="005C36C3" w:rsidRDefault="003C3567">
            <w:pPr>
              <w:jc w:val="center"/>
              <w:rPr>
                <w:sz w:val="18"/>
                <w:szCs w:val="18"/>
              </w:rPr>
            </w:pPr>
            <w:r w:rsidRPr="005C36C3">
              <w:rPr>
                <w:sz w:val="18"/>
                <w:szCs w:val="18"/>
              </w:rPr>
              <w:t>25.35%</w:t>
            </w:r>
          </w:p>
        </w:tc>
        <w:tc>
          <w:tcPr>
            <w:tcW w:w="2493" w:type="dxa"/>
            <w:tcMar>
              <w:top w:w="80" w:type="dxa"/>
              <w:left w:w="90" w:type="dxa"/>
              <w:bottom w:w="80" w:type="dxa"/>
              <w:right w:w="90" w:type="dxa"/>
            </w:tcMar>
            <w:vAlign w:val="center"/>
          </w:tcPr>
          <w:p w14:paraId="67B209C3" w14:textId="77777777" w:rsidR="0064473D" w:rsidRPr="005C36C3" w:rsidRDefault="003C3567">
            <w:pPr>
              <w:jc w:val="center"/>
              <w:rPr>
                <w:sz w:val="18"/>
                <w:szCs w:val="18"/>
              </w:rPr>
            </w:pPr>
            <w:r w:rsidRPr="005C36C3">
              <w:rPr>
                <w:sz w:val="18"/>
                <w:szCs w:val="18"/>
              </w:rPr>
              <w:t>24.56%</w:t>
            </w:r>
          </w:p>
        </w:tc>
        <w:tc>
          <w:tcPr>
            <w:tcW w:w="2493" w:type="dxa"/>
            <w:tcMar>
              <w:top w:w="80" w:type="dxa"/>
              <w:left w:w="90" w:type="dxa"/>
              <w:bottom w:w="80" w:type="dxa"/>
              <w:right w:w="90" w:type="dxa"/>
            </w:tcMar>
            <w:vAlign w:val="center"/>
          </w:tcPr>
          <w:p w14:paraId="342D5C7A" w14:textId="77777777" w:rsidR="0064473D" w:rsidRPr="005C36C3" w:rsidRDefault="003C3567">
            <w:pPr>
              <w:jc w:val="center"/>
              <w:rPr>
                <w:sz w:val="18"/>
                <w:szCs w:val="18"/>
              </w:rPr>
            </w:pPr>
            <w:r w:rsidRPr="005C36C3">
              <w:rPr>
                <w:sz w:val="18"/>
                <w:szCs w:val="18"/>
              </w:rPr>
              <w:t>-0.79 pp</w:t>
            </w:r>
          </w:p>
        </w:tc>
      </w:tr>
    </w:tbl>
    <w:p w14:paraId="070DEEFB" w14:textId="77777777" w:rsidR="0064473D" w:rsidRDefault="003C3567">
      <w:pPr>
        <w:pStyle w:val="BodyText"/>
      </w:pPr>
      <w:r>
        <w:t>The resident-only result places slightly greater emphasis on community and social uses and slightly less emphasis on sports changing rooms and kitchens. The changes are not large enough to overturn the overall project brief, but they are large enough to challenge any claim that the consultation primarily supports a sports-led scheme.</w:t>
      </w:r>
    </w:p>
    <w:p w14:paraId="3C95BD5E" w14:textId="77777777" w:rsidR="0064473D" w:rsidRDefault="003C3567">
      <w:pPr>
        <w:pStyle w:val="Heading2"/>
      </w:pPr>
      <w:r>
        <w:t>Resident Funding Preferences</w:t>
      </w:r>
    </w:p>
    <w:p w14:paraId="578EA31A" w14:textId="77777777" w:rsidR="0064473D" w:rsidRDefault="003C3567">
      <w:pPr>
        <w:pStyle w:val="BodyText"/>
      </w:pPr>
      <w:r>
        <w:t>Fifty resident respondents answered the funding question. No preference remained the largest individual response at 22.00%, but it was 7.69 percentage points lower than in the full sample. A one-off precept increase and not supporting the project proceeding were tied at 18.00% each. Borrowing over 5, 10 and 20 years each received 12.00%, and borrowing over 40 years received 6.00%.</w:t>
      </w:r>
    </w:p>
    <w:p w14:paraId="16140220" w14:textId="77777777" w:rsidR="0064473D" w:rsidRDefault="003C3567">
      <w:pPr>
        <w:pStyle w:val="BodyText"/>
      </w:pPr>
      <w:r>
        <w:t>Sixty per cent of resident respondents selected one of the specific funding routes presented, compared with 56.26% in the full sample. However, the resident group was also more likely to select “do not support the project proceeding”: 18.00%, compared with 14.06% overall. There is still no majority mandate for any single funding route.</w:t>
      </w:r>
    </w:p>
    <w:p w14:paraId="18A24BC3" w14:textId="77777777" w:rsidR="0064473D" w:rsidRDefault="003C3567">
      <w:pPr>
        <w:jc w:val="center"/>
      </w:pPr>
      <w:r>
        <w:rPr>
          <w:noProof/>
        </w:rPr>
        <w:drawing>
          <wp:inline distT="0" distB="0" distL="0" distR="0" wp14:anchorId="5084A01C" wp14:editId="0AFF383A">
            <wp:extent cx="5897880" cy="2928452"/>
            <wp:effectExtent l="0" t="0" r="0" b="0"/>
            <wp:docPr id="9" name="Picture 9" descr="Horizontal bar chart showing no preference at 22%, one-off precept increase and do not support proceeding at 18% each, and borrowing terms below those levels." title="Resident funding prefer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resident_funding.png"/>
                    <pic:cNvPicPr/>
                  </pic:nvPicPr>
                  <pic:blipFill>
                    <a:blip r:embed="rId19"/>
                    <a:stretch>
                      <a:fillRect/>
                    </a:stretch>
                  </pic:blipFill>
                  <pic:spPr>
                    <a:xfrm>
                      <a:off x="0" y="0"/>
                      <a:ext cx="5897880" cy="2928452"/>
                    </a:xfrm>
                    <a:prstGeom prst="rect">
                      <a:avLst/>
                    </a:prstGeom>
                  </pic:spPr>
                </pic:pic>
              </a:graphicData>
            </a:graphic>
          </wp:inline>
        </w:drawing>
      </w:r>
    </w:p>
    <w:p w14:paraId="25412BEB" w14:textId="77777777" w:rsidR="0064473D" w:rsidRDefault="003C3567">
      <w:pPr>
        <w:spacing w:before="20" w:after="140"/>
        <w:jc w:val="center"/>
      </w:pPr>
      <w:r>
        <w:rPr>
          <w:i/>
          <w:color w:val="5B6B70"/>
          <w:sz w:val="16"/>
        </w:rPr>
        <w:t>Figure 9 - Preferred funding approach among Bradley Stoke residents.</w:t>
      </w:r>
    </w:p>
    <w:p w14:paraId="503E9310" w14:textId="77777777" w:rsidR="0064473D" w:rsidRPr="005C36C3" w:rsidRDefault="003C3567" w:rsidP="006B5A3A">
      <w:pPr>
        <w:pStyle w:val="Heading1"/>
      </w:pPr>
      <w:r w:rsidRPr="005C36C3">
        <w:t>Resident Borrowing Period and Interest</w:t>
      </w:r>
    </w:p>
    <w:p w14:paraId="0B9CAB9A" w14:textId="77777777" w:rsidR="0064473D" w:rsidRDefault="003C3567">
      <w:pPr>
        <w:pStyle w:val="BodyText"/>
      </w:pPr>
      <w:r>
        <w:t>If borrowing were required, 20 years was the most frequently selected term among residents at 26.00%, followed by 5 years at 22.00% and 10 years at 16.00%. Thirty-two per cent selected none of the above. Sixty-four per cent selected a term between 5 and 20 years, almost identical to the 65.63% result in the full sample. There is therefore no meaningful evidence that filtering for residents creates a clear preferred loan term.</w:t>
      </w:r>
    </w:p>
    <w:p w14:paraId="146FDDCF" w14:textId="77777777" w:rsidR="0064473D" w:rsidRDefault="003C3567">
      <w:pPr>
        <w:pStyle w:val="BodyText"/>
      </w:pPr>
      <w:r>
        <w:t>Residents placed slightly greater emphasis on minimising total interest. Forty-six per cent said this was extremely important and 22.00% very important. In total, 68.00% considered it very or extremely important, compared with 64.07% in the full sample. Eighty per cent considered it at least somewhat important. Any future borrowing report should therefore show total lifetime interest prominently and not focus only on the annual precept impact.</w:t>
      </w:r>
    </w:p>
    <w:p w14:paraId="229CFDC8" w14:textId="77777777" w:rsidR="0064473D" w:rsidRDefault="003C3567">
      <w:pPr>
        <w:pStyle w:val="Heading2"/>
      </w:pPr>
      <w:r>
        <w:t>Resident Concerns</w:t>
      </w:r>
    </w:p>
    <w:p w14:paraId="7BC0A23E" w14:textId="77777777" w:rsidR="0064473D" w:rsidRDefault="003C3567">
      <w:pPr>
        <w:pStyle w:val="BodyText"/>
      </w:pPr>
      <w:r>
        <w:t>Borrowing or debt was the highest resident concern at 38.78%, compared with 33.33% in the full sample. Parking or traffic followed at 32.65%, disruption during works at 28.57%, and cost being too high at 26.53%. Sixteen per cent selected no concerns. Insufficient demand was selected by 20.41%, better priorities elsewhere by 16.33%, and impact on the precept by 12.24%.</w:t>
      </w:r>
    </w:p>
    <w:p w14:paraId="281D1465" w14:textId="77777777" w:rsidR="0064473D" w:rsidRDefault="003C3567">
      <w:pPr>
        <w:jc w:val="center"/>
      </w:pPr>
      <w:r>
        <w:rPr>
          <w:noProof/>
        </w:rPr>
        <w:drawing>
          <wp:inline distT="0" distB="0" distL="0" distR="0" wp14:anchorId="7C1CCBAE" wp14:editId="77BEBE68">
            <wp:extent cx="5897880" cy="3226812"/>
            <wp:effectExtent l="0" t="0" r="0" b="0"/>
            <wp:docPr id="10" name="Picture 10" descr="Horizontal bar chart showing borrowing or debt as the leading resident concern, followed by parking or traffic, disruption during works, and cost too high." title="Resident project concer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resident_concerns.png"/>
                    <pic:cNvPicPr/>
                  </pic:nvPicPr>
                  <pic:blipFill>
                    <a:blip r:embed="rId20"/>
                    <a:stretch>
                      <a:fillRect/>
                    </a:stretch>
                  </pic:blipFill>
                  <pic:spPr>
                    <a:xfrm>
                      <a:off x="0" y="0"/>
                      <a:ext cx="5897880" cy="3226812"/>
                    </a:xfrm>
                    <a:prstGeom prst="rect">
                      <a:avLst/>
                    </a:prstGeom>
                  </pic:spPr>
                </pic:pic>
              </a:graphicData>
            </a:graphic>
          </wp:inline>
        </w:drawing>
      </w:r>
    </w:p>
    <w:p w14:paraId="7EA42182" w14:textId="77777777" w:rsidR="0064473D" w:rsidRDefault="003C3567">
      <w:pPr>
        <w:spacing w:before="20" w:after="140"/>
        <w:jc w:val="center"/>
      </w:pPr>
      <w:r>
        <w:rPr>
          <w:i/>
          <w:color w:val="5B6B70"/>
          <w:sz w:val="16"/>
        </w:rPr>
        <w:t>Figure 10 - Concerns selected by respondents living in Bradley Stoke.</w:t>
      </w:r>
    </w:p>
    <w:p w14:paraId="79A6689E" w14:textId="77777777" w:rsidR="0064473D" w:rsidRDefault="003C3567">
      <w:pPr>
        <w:pStyle w:val="BodyText"/>
      </w:pPr>
      <w:r>
        <w:t>Compared with the whole sample, residents were more concerned about borrowing or debt by 5.45 percentage points and cost being too high by 2.72 points. They were less likely to select disruption during works by 6.35 points and parking or traffic by 2.27 points. This distinction matters: resident concerns lean more heavily towards financial exposure, while the overall sample gives greater weight to operational disruption and access.</w:t>
      </w:r>
    </w:p>
    <w:p w14:paraId="000860ED" w14:textId="77777777" w:rsidR="0064473D" w:rsidRDefault="003C3567" w:rsidP="00B97729">
      <w:pPr>
        <w:pStyle w:val="Heading1"/>
      </w:pPr>
      <w:r>
        <w:t>Resident Response Levels</w:t>
      </w:r>
    </w:p>
    <w:tbl>
      <w:tblPr>
        <w:tblW w:w="0" w:type="auto"/>
        <w:jc w:val="center"/>
        <w:tblBorders>
          <w:top w:val="single" w:sz="4" w:space="0" w:color="B7C7C4"/>
          <w:left w:val="single" w:sz="4" w:space="0" w:color="B7C7C4"/>
          <w:bottom w:val="single" w:sz="4" w:space="0" w:color="B7C7C4"/>
          <w:right w:val="single" w:sz="4" w:space="0" w:color="B7C7C4"/>
          <w:insideH w:val="single" w:sz="4" w:space="0" w:color="B7C7C4"/>
          <w:insideV w:val="single" w:sz="4" w:space="0" w:color="B7C7C4"/>
        </w:tblBorders>
        <w:tblLook w:val="04A0" w:firstRow="1" w:lastRow="0" w:firstColumn="1" w:lastColumn="0" w:noHBand="0" w:noVBand="1"/>
      </w:tblPr>
      <w:tblGrid>
        <w:gridCol w:w="2426"/>
        <w:gridCol w:w="2400"/>
        <w:gridCol w:w="2395"/>
        <w:gridCol w:w="2407"/>
      </w:tblGrid>
      <w:tr w:rsidR="0064473D" w14:paraId="02ACC9D1" w14:textId="77777777">
        <w:trPr>
          <w:tblHeader/>
          <w:jc w:val="center"/>
        </w:trPr>
        <w:tc>
          <w:tcPr>
            <w:tcW w:w="2493" w:type="dxa"/>
            <w:shd w:val="clear" w:color="auto" w:fill="006B5F"/>
            <w:tcMar>
              <w:top w:w="80" w:type="dxa"/>
              <w:left w:w="90" w:type="dxa"/>
              <w:bottom w:w="80" w:type="dxa"/>
              <w:right w:w="90" w:type="dxa"/>
            </w:tcMar>
            <w:vAlign w:val="center"/>
          </w:tcPr>
          <w:p w14:paraId="5C7B0A62" w14:textId="77777777" w:rsidR="0064473D" w:rsidRDefault="003C3567">
            <w:r>
              <w:rPr>
                <w:b/>
                <w:color w:val="FFFFFF"/>
                <w:sz w:val="16"/>
              </w:rPr>
              <w:t>Question area</w:t>
            </w:r>
          </w:p>
        </w:tc>
        <w:tc>
          <w:tcPr>
            <w:tcW w:w="2493" w:type="dxa"/>
            <w:shd w:val="clear" w:color="auto" w:fill="006B5F"/>
            <w:tcMar>
              <w:top w:w="80" w:type="dxa"/>
              <w:left w:w="90" w:type="dxa"/>
              <w:bottom w:w="80" w:type="dxa"/>
              <w:right w:w="90" w:type="dxa"/>
            </w:tcMar>
            <w:vAlign w:val="center"/>
          </w:tcPr>
          <w:p w14:paraId="774A4AD5" w14:textId="77777777" w:rsidR="0064473D" w:rsidRDefault="003C3567">
            <w:r>
              <w:rPr>
                <w:b/>
                <w:color w:val="FFFFFF"/>
                <w:sz w:val="16"/>
              </w:rPr>
              <w:t>Resident responses</w:t>
            </w:r>
          </w:p>
        </w:tc>
        <w:tc>
          <w:tcPr>
            <w:tcW w:w="2493" w:type="dxa"/>
            <w:shd w:val="clear" w:color="auto" w:fill="006B5F"/>
            <w:tcMar>
              <w:top w:w="80" w:type="dxa"/>
              <w:left w:w="90" w:type="dxa"/>
              <w:bottom w:w="80" w:type="dxa"/>
              <w:right w:w="90" w:type="dxa"/>
            </w:tcMar>
            <w:vAlign w:val="center"/>
          </w:tcPr>
          <w:p w14:paraId="7825D72B" w14:textId="77777777" w:rsidR="0064473D" w:rsidRDefault="003C3567">
            <w:r>
              <w:rPr>
                <w:b/>
                <w:color w:val="FFFFFF"/>
                <w:sz w:val="16"/>
              </w:rPr>
              <w:t>Share of 75</w:t>
            </w:r>
          </w:p>
        </w:tc>
        <w:tc>
          <w:tcPr>
            <w:tcW w:w="2493" w:type="dxa"/>
            <w:shd w:val="clear" w:color="auto" w:fill="006B5F"/>
            <w:tcMar>
              <w:top w:w="80" w:type="dxa"/>
              <w:left w:w="90" w:type="dxa"/>
              <w:bottom w:w="80" w:type="dxa"/>
              <w:right w:w="90" w:type="dxa"/>
            </w:tcMar>
            <w:vAlign w:val="center"/>
          </w:tcPr>
          <w:p w14:paraId="5EBC8E52" w14:textId="77777777" w:rsidR="0064473D" w:rsidRDefault="003C3567">
            <w:r>
              <w:rPr>
                <w:b/>
                <w:color w:val="FFFFFF"/>
                <w:sz w:val="16"/>
              </w:rPr>
              <w:t>Comment</w:t>
            </w:r>
          </w:p>
        </w:tc>
      </w:tr>
      <w:tr w:rsidR="0064473D" w14:paraId="10BD7B49" w14:textId="77777777">
        <w:trPr>
          <w:jc w:val="center"/>
        </w:trPr>
        <w:tc>
          <w:tcPr>
            <w:tcW w:w="2493" w:type="dxa"/>
            <w:tcMar>
              <w:top w:w="80" w:type="dxa"/>
              <w:left w:w="90" w:type="dxa"/>
              <w:bottom w:w="80" w:type="dxa"/>
              <w:right w:w="90" w:type="dxa"/>
            </w:tcMar>
            <w:vAlign w:val="center"/>
          </w:tcPr>
          <w:p w14:paraId="39C70B3A" w14:textId="77777777" w:rsidR="0064473D" w:rsidRPr="005C36C3" w:rsidRDefault="003C3567">
            <w:pPr>
              <w:rPr>
                <w:sz w:val="18"/>
                <w:szCs w:val="18"/>
              </w:rPr>
            </w:pPr>
            <w:r w:rsidRPr="005C36C3">
              <w:rPr>
                <w:b/>
                <w:sz w:val="18"/>
                <w:szCs w:val="18"/>
              </w:rPr>
              <w:t>Residence and relationship</w:t>
            </w:r>
          </w:p>
        </w:tc>
        <w:tc>
          <w:tcPr>
            <w:tcW w:w="2493" w:type="dxa"/>
            <w:tcMar>
              <w:top w:w="80" w:type="dxa"/>
              <w:left w:w="90" w:type="dxa"/>
              <w:bottom w:w="80" w:type="dxa"/>
              <w:right w:w="90" w:type="dxa"/>
            </w:tcMar>
            <w:vAlign w:val="center"/>
          </w:tcPr>
          <w:p w14:paraId="240681AC" w14:textId="77777777" w:rsidR="0064473D" w:rsidRPr="005C36C3" w:rsidRDefault="003C3567">
            <w:pPr>
              <w:jc w:val="center"/>
              <w:rPr>
                <w:sz w:val="18"/>
                <w:szCs w:val="18"/>
              </w:rPr>
            </w:pPr>
            <w:r w:rsidRPr="005C36C3">
              <w:rPr>
                <w:sz w:val="18"/>
                <w:szCs w:val="18"/>
              </w:rPr>
              <w:t>75</w:t>
            </w:r>
          </w:p>
        </w:tc>
        <w:tc>
          <w:tcPr>
            <w:tcW w:w="2493" w:type="dxa"/>
            <w:tcMar>
              <w:top w:w="80" w:type="dxa"/>
              <w:left w:w="90" w:type="dxa"/>
              <w:bottom w:w="80" w:type="dxa"/>
              <w:right w:w="90" w:type="dxa"/>
            </w:tcMar>
            <w:vAlign w:val="center"/>
          </w:tcPr>
          <w:p w14:paraId="28A9668C" w14:textId="77777777" w:rsidR="0064473D" w:rsidRPr="005C36C3" w:rsidRDefault="003C3567">
            <w:pPr>
              <w:jc w:val="center"/>
              <w:rPr>
                <w:sz w:val="18"/>
                <w:szCs w:val="18"/>
              </w:rPr>
            </w:pPr>
            <w:r w:rsidRPr="005C36C3">
              <w:rPr>
                <w:sz w:val="18"/>
                <w:szCs w:val="18"/>
              </w:rPr>
              <w:t>100.00%</w:t>
            </w:r>
          </w:p>
        </w:tc>
        <w:tc>
          <w:tcPr>
            <w:tcW w:w="2493" w:type="dxa"/>
            <w:tcMar>
              <w:top w:w="80" w:type="dxa"/>
              <w:left w:w="90" w:type="dxa"/>
              <w:bottom w:w="80" w:type="dxa"/>
              <w:right w:w="90" w:type="dxa"/>
            </w:tcMar>
            <w:vAlign w:val="center"/>
          </w:tcPr>
          <w:p w14:paraId="05CFD225" w14:textId="77777777" w:rsidR="0064473D" w:rsidRPr="005C36C3" w:rsidRDefault="003C3567">
            <w:pPr>
              <w:rPr>
                <w:sz w:val="18"/>
                <w:szCs w:val="18"/>
              </w:rPr>
            </w:pPr>
            <w:r w:rsidRPr="005C36C3">
              <w:rPr>
                <w:sz w:val="18"/>
                <w:szCs w:val="18"/>
              </w:rPr>
              <w:t>Full resident-filtered sample</w:t>
            </w:r>
          </w:p>
        </w:tc>
      </w:tr>
      <w:tr w:rsidR="0064473D" w14:paraId="4F66B997" w14:textId="77777777">
        <w:trPr>
          <w:jc w:val="center"/>
        </w:trPr>
        <w:tc>
          <w:tcPr>
            <w:tcW w:w="2493" w:type="dxa"/>
            <w:tcMar>
              <w:top w:w="80" w:type="dxa"/>
              <w:left w:w="90" w:type="dxa"/>
              <w:bottom w:w="80" w:type="dxa"/>
              <w:right w:w="90" w:type="dxa"/>
            </w:tcMar>
            <w:vAlign w:val="center"/>
          </w:tcPr>
          <w:p w14:paraId="502F4894" w14:textId="77777777" w:rsidR="0064473D" w:rsidRPr="005C36C3" w:rsidRDefault="003C3567">
            <w:pPr>
              <w:rPr>
                <w:sz w:val="18"/>
                <w:szCs w:val="18"/>
              </w:rPr>
            </w:pPr>
            <w:r w:rsidRPr="005C36C3">
              <w:rPr>
                <w:b/>
                <w:sz w:val="18"/>
                <w:szCs w:val="18"/>
              </w:rPr>
              <w:t>Use frequency</w:t>
            </w:r>
          </w:p>
        </w:tc>
        <w:tc>
          <w:tcPr>
            <w:tcW w:w="2493" w:type="dxa"/>
            <w:tcMar>
              <w:top w:w="80" w:type="dxa"/>
              <w:left w:w="90" w:type="dxa"/>
              <w:bottom w:w="80" w:type="dxa"/>
              <w:right w:w="90" w:type="dxa"/>
            </w:tcMar>
            <w:vAlign w:val="center"/>
          </w:tcPr>
          <w:p w14:paraId="41004449" w14:textId="77777777" w:rsidR="0064473D" w:rsidRPr="005C36C3" w:rsidRDefault="003C3567">
            <w:pPr>
              <w:jc w:val="center"/>
              <w:rPr>
                <w:sz w:val="18"/>
                <w:szCs w:val="18"/>
              </w:rPr>
            </w:pPr>
            <w:r w:rsidRPr="005C36C3">
              <w:rPr>
                <w:sz w:val="18"/>
                <w:szCs w:val="18"/>
              </w:rPr>
              <w:t>75</w:t>
            </w:r>
          </w:p>
        </w:tc>
        <w:tc>
          <w:tcPr>
            <w:tcW w:w="2493" w:type="dxa"/>
            <w:tcMar>
              <w:top w:w="80" w:type="dxa"/>
              <w:left w:w="90" w:type="dxa"/>
              <w:bottom w:w="80" w:type="dxa"/>
              <w:right w:w="90" w:type="dxa"/>
            </w:tcMar>
            <w:vAlign w:val="center"/>
          </w:tcPr>
          <w:p w14:paraId="42487B49" w14:textId="77777777" w:rsidR="0064473D" w:rsidRPr="005C36C3" w:rsidRDefault="003C3567">
            <w:pPr>
              <w:jc w:val="center"/>
              <w:rPr>
                <w:sz w:val="18"/>
                <w:szCs w:val="18"/>
              </w:rPr>
            </w:pPr>
            <w:r w:rsidRPr="005C36C3">
              <w:rPr>
                <w:sz w:val="18"/>
                <w:szCs w:val="18"/>
              </w:rPr>
              <w:t>100.00%</w:t>
            </w:r>
          </w:p>
        </w:tc>
        <w:tc>
          <w:tcPr>
            <w:tcW w:w="2493" w:type="dxa"/>
            <w:tcMar>
              <w:top w:w="80" w:type="dxa"/>
              <w:left w:w="90" w:type="dxa"/>
              <w:bottom w:w="80" w:type="dxa"/>
              <w:right w:w="90" w:type="dxa"/>
            </w:tcMar>
            <w:vAlign w:val="center"/>
          </w:tcPr>
          <w:p w14:paraId="71AE8665" w14:textId="77777777" w:rsidR="0064473D" w:rsidRPr="005C36C3" w:rsidRDefault="003C3567">
            <w:pPr>
              <w:rPr>
                <w:sz w:val="18"/>
                <w:szCs w:val="18"/>
              </w:rPr>
            </w:pPr>
            <w:r w:rsidRPr="005C36C3">
              <w:rPr>
                <w:sz w:val="18"/>
                <w:szCs w:val="18"/>
              </w:rPr>
              <w:t>Export records 76 selections</w:t>
            </w:r>
          </w:p>
        </w:tc>
      </w:tr>
      <w:tr w:rsidR="0064473D" w14:paraId="0D611CFB" w14:textId="77777777">
        <w:trPr>
          <w:jc w:val="center"/>
        </w:trPr>
        <w:tc>
          <w:tcPr>
            <w:tcW w:w="2493" w:type="dxa"/>
            <w:tcMar>
              <w:top w:w="80" w:type="dxa"/>
              <w:left w:w="90" w:type="dxa"/>
              <w:bottom w:w="80" w:type="dxa"/>
              <w:right w:w="90" w:type="dxa"/>
            </w:tcMar>
            <w:vAlign w:val="center"/>
          </w:tcPr>
          <w:p w14:paraId="32EABB16" w14:textId="77777777" w:rsidR="0064473D" w:rsidRPr="005C36C3" w:rsidRDefault="003C3567">
            <w:pPr>
              <w:rPr>
                <w:sz w:val="18"/>
                <w:szCs w:val="18"/>
              </w:rPr>
            </w:pPr>
            <w:r w:rsidRPr="005C36C3">
              <w:rPr>
                <w:b/>
                <w:sz w:val="18"/>
                <w:szCs w:val="18"/>
              </w:rPr>
              <w:t>Current facility / improvements needed</w:t>
            </w:r>
          </w:p>
        </w:tc>
        <w:tc>
          <w:tcPr>
            <w:tcW w:w="2493" w:type="dxa"/>
            <w:tcMar>
              <w:top w:w="80" w:type="dxa"/>
              <w:left w:w="90" w:type="dxa"/>
              <w:bottom w:w="80" w:type="dxa"/>
              <w:right w:w="90" w:type="dxa"/>
            </w:tcMar>
            <w:vAlign w:val="center"/>
          </w:tcPr>
          <w:p w14:paraId="7217FDAD" w14:textId="77777777" w:rsidR="0064473D" w:rsidRPr="005C36C3" w:rsidRDefault="003C3567">
            <w:pPr>
              <w:jc w:val="center"/>
              <w:rPr>
                <w:sz w:val="18"/>
                <w:szCs w:val="18"/>
              </w:rPr>
            </w:pPr>
            <w:r w:rsidRPr="005C36C3">
              <w:rPr>
                <w:sz w:val="18"/>
                <w:szCs w:val="18"/>
              </w:rPr>
              <w:t>59</w:t>
            </w:r>
          </w:p>
        </w:tc>
        <w:tc>
          <w:tcPr>
            <w:tcW w:w="2493" w:type="dxa"/>
            <w:tcMar>
              <w:top w:w="80" w:type="dxa"/>
              <w:left w:w="90" w:type="dxa"/>
              <w:bottom w:w="80" w:type="dxa"/>
              <w:right w:w="90" w:type="dxa"/>
            </w:tcMar>
            <w:vAlign w:val="center"/>
          </w:tcPr>
          <w:p w14:paraId="1D6BC904" w14:textId="77777777" w:rsidR="0064473D" w:rsidRPr="005C36C3" w:rsidRDefault="003C3567">
            <w:pPr>
              <w:jc w:val="center"/>
              <w:rPr>
                <w:sz w:val="18"/>
                <w:szCs w:val="18"/>
              </w:rPr>
            </w:pPr>
            <w:r w:rsidRPr="005C36C3">
              <w:rPr>
                <w:sz w:val="18"/>
                <w:szCs w:val="18"/>
              </w:rPr>
              <w:t>78.67%</w:t>
            </w:r>
          </w:p>
        </w:tc>
        <w:tc>
          <w:tcPr>
            <w:tcW w:w="2493" w:type="dxa"/>
            <w:tcMar>
              <w:top w:w="80" w:type="dxa"/>
              <w:left w:w="90" w:type="dxa"/>
              <w:bottom w:w="80" w:type="dxa"/>
              <w:right w:w="90" w:type="dxa"/>
            </w:tcMar>
            <w:vAlign w:val="center"/>
          </w:tcPr>
          <w:p w14:paraId="4B0B58F9" w14:textId="77777777" w:rsidR="0064473D" w:rsidRPr="005C36C3" w:rsidRDefault="003C3567">
            <w:pPr>
              <w:rPr>
                <w:sz w:val="18"/>
                <w:szCs w:val="18"/>
              </w:rPr>
            </w:pPr>
            <w:r w:rsidRPr="005C36C3">
              <w:rPr>
                <w:sz w:val="18"/>
                <w:szCs w:val="18"/>
              </w:rPr>
              <w:t>Free-text comments not supplied</w:t>
            </w:r>
          </w:p>
        </w:tc>
      </w:tr>
      <w:tr w:rsidR="0064473D" w14:paraId="1CC3F702" w14:textId="77777777">
        <w:trPr>
          <w:jc w:val="center"/>
        </w:trPr>
        <w:tc>
          <w:tcPr>
            <w:tcW w:w="2493" w:type="dxa"/>
            <w:tcMar>
              <w:top w:w="80" w:type="dxa"/>
              <w:left w:w="90" w:type="dxa"/>
              <w:bottom w:w="80" w:type="dxa"/>
              <w:right w:w="90" w:type="dxa"/>
            </w:tcMar>
            <w:vAlign w:val="center"/>
          </w:tcPr>
          <w:p w14:paraId="61A17876" w14:textId="77777777" w:rsidR="0064473D" w:rsidRPr="005C36C3" w:rsidRDefault="003C3567">
            <w:pPr>
              <w:rPr>
                <w:sz w:val="18"/>
                <w:szCs w:val="18"/>
              </w:rPr>
            </w:pPr>
            <w:r w:rsidRPr="005C36C3">
              <w:rPr>
                <w:b/>
                <w:sz w:val="18"/>
                <w:szCs w:val="18"/>
              </w:rPr>
              <w:t>Strategic importance / priorities / likely use</w:t>
            </w:r>
          </w:p>
        </w:tc>
        <w:tc>
          <w:tcPr>
            <w:tcW w:w="2493" w:type="dxa"/>
            <w:tcMar>
              <w:top w:w="80" w:type="dxa"/>
              <w:left w:w="90" w:type="dxa"/>
              <w:bottom w:w="80" w:type="dxa"/>
              <w:right w:w="90" w:type="dxa"/>
            </w:tcMar>
            <w:vAlign w:val="center"/>
          </w:tcPr>
          <w:p w14:paraId="0A973850" w14:textId="77777777" w:rsidR="0064473D" w:rsidRPr="005C36C3" w:rsidRDefault="003C3567">
            <w:pPr>
              <w:jc w:val="center"/>
              <w:rPr>
                <w:sz w:val="18"/>
                <w:szCs w:val="18"/>
              </w:rPr>
            </w:pPr>
            <w:r w:rsidRPr="005C36C3">
              <w:rPr>
                <w:sz w:val="18"/>
                <w:szCs w:val="18"/>
              </w:rPr>
              <w:t>57</w:t>
            </w:r>
          </w:p>
        </w:tc>
        <w:tc>
          <w:tcPr>
            <w:tcW w:w="2493" w:type="dxa"/>
            <w:tcMar>
              <w:top w:w="80" w:type="dxa"/>
              <w:left w:w="90" w:type="dxa"/>
              <w:bottom w:w="80" w:type="dxa"/>
              <w:right w:w="90" w:type="dxa"/>
            </w:tcMar>
            <w:vAlign w:val="center"/>
          </w:tcPr>
          <w:p w14:paraId="665808B0" w14:textId="77777777" w:rsidR="0064473D" w:rsidRPr="005C36C3" w:rsidRDefault="003C3567">
            <w:pPr>
              <w:jc w:val="center"/>
              <w:rPr>
                <w:sz w:val="18"/>
                <w:szCs w:val="18"/>
              </w:rPr>
            </w:pPr>
            <w:r w:rsidRPr="005C36C3">
              <w:rPr>
                <w:sz w:val="18"/>
                <w:szCs w:val="18"/>
              </w:rPr>
              <w:t>76.00%</w:t>
            </w:r>
          </w:p>
        </w:tc>
        <w:tc>
          <w:tcPr>
            <w:tcW w:w="2493" w:type="dxa"/>
            <w:tcMar>
              <w:top w:w="80" w:type="dxa"/>
              <w:left w:w="90" w:type="dxa"/>
              <w:bottom w:w="80" w:type="dxa"/>
              <w:right w:w="90" w:type="dxa"/>
            </w:tcMar>
            <w:vAlign w:val="center"/>
          </w:tcPr>
          <w:p w14:paraId="5A52278B" w14:textId="77777777" w:rsidR="0064473D" w:rsidRPr="005C36C3" w:rsidRDefault="003C3567">
            <w:pPr>
              <w:rPr>
                <w:sz w:val="18"/>
                <w:szCs w:val="18"/>
              </w:rPr>
            </w:pPr>
            <w:r w:rsidRPr="005C36C3">
              <w:rPr>
                <w:sz w:val="18"/>
                <w:szCs w:val="18"/>
              </w:rPr>
              <w:t>Core future-investment questions</w:t>
            </w:r>
          </w:p>
        </w:tc>
      </w:tr>
      <w:tr w:rsidR="0064473D" w14:paraId="5EEAD092" w14:textId="77777777">
        <w:trPr>
          <w:jc w:val="center"/>
        </w:trPr>
        <w:tc>
          <w:tcPr>
            <w:tcW w:w="2493" w:type="dxa"/>
            <w:tcMar>
              <w:top w:w="80" w:type="dxa"/>
              <w:left w:w="90" w:type="dxa"/>
              <w:bottom w:w="80" w:type="dxa"/>
              <w:right w:w="90" w:type="dxa"/>
            </w:tcMar>
            <w:vAlign w:val="center"/>
          </w:tcPr>
          <w:p w14:paraId="24E7D6B4" w14:textId="77777777" w:rsidR="0064473D" w:rsidRPr="005C36C3" w:rsidRDefault="003C3567">
            <w:pPr>
              <w:rPr>
                <w:sz w:val="18"/>
                <w:szCs w:val="18"/>
              </w:rPr>
            </w:pPr>
            <w:r w:rsidRPr="005C36C3">
              <w:rPr>
                <w:b/>
                <w:sz w:val="18"/>
                <w:szCs w:val="18"/>
              </w:rPr>
              <w:t>Funding / borrowing / interest</w:t>
            </w:r>
          </w:p>
        </w:tc>
        <w:tc>
          <w:tcPr>
            <w:tcW w:w="2493" w:type="dxa"/>
            <w:tcMar>
              <w:top w:w="80" w:type="dxa"/>
              <w:left w:w="90" w:type="dxa"/>
              <w:bottom w:w="80" w:type="dxa"/>
              <w:right w:w="90" w:type="dxa"/>
            </w:tcMar>
            <w:vAlign w:val="center"/>
          </w:tcPr>
          <w:p w14:paraId="6D247C19" w14:textId="77777777" w:rsidR="0064473D" w:rsidRPr="005C36C3" w:rsidRDefault="003C3567">
            <w:pPr>
              <w:jc w:val="center"/>
              <w:rPr>
                <w:sz w:val="18"/>
                <w:szCs w:val="18"/>
              </w:rPr>
            </w:pPr>
            <w:r w:rsidRPr="005C36C3">
              <w:rPr>
                <w:sz w:val="18"/>
                <w:szCs w:val="18"/>
              </w:rPr>
              <w:t>50</w:t>
            </w:r>
          </w:p>
        </w:tc>
        <w:tc>
          <w:tcPr>
            <w:tcW w:w="2493" w:type="dxa"/>
            <w:tcMar>
              <w:top w:w="80" w:type="dxa"/>
              <w:left w:w="90" w:type="dxa"/>
              <w:bottom w:w="80" w:type="dxa"/>
              <w:right w:w="90" w:type="dxa"/>
            </w:tcMar>
            <w:vAlign w:val="center"/>
          </w:tcPr>
          <w:p w14:paraId="2BB9BA94" w14:textId="77777777" w:rsidR="0064473D" w:rsidRPr="005C36C3" w:rsidRDefault="003C3567">
            <w:pPr>
              <w:jc w:val="center"/>
              <w:rPr>
                <w:sz w:val="18"/>
                <w:szCs w:val="18"/>
              </w:rPr>
            </w:pPr>
            <w:r w:rsidRPr="005C36C3">
              <w:rPr>
                <w:sz w:val="18"/>
                <w:szCs w:val="18"/>
              </w:rPr>
              <w:t>66.67%</w:t>
            </w:r>
          </w:p>
        </w:tc>
        <w:tc>
          <w:tcPr>
            <w:tcW w:w="2493" w:type="dxa"/>
            <w:tcMar>
              <w:top w:w="80" w:type="dxa"/>
              <w:left w:w="90" w:type="dxa"/>
              <w:bottom w:w="80" w:type="dxa"/>
              <w:right w:w="90" w:type="dxa"/>
            </w:tcMar>
            <w:vAlign w:val="center"/>
          </w:tcPr>
          <w:p w14:paraId="0F377E09" w14:textId="77777777" w:rsidR="0064473D" w:rsidRPr="005C36C3" w:rsidRDefault="003C3567">
            <w:pPr>
              <w:rPr>
                <w:sz w:val="18"/>
                <w:szCs w:val="18"/>
              </w:rPr>
            </w:pPr>
            <w:r w:rsidRPr="005C36C3">
              <w:rPr>
                <w:sz w:val="18"/>
                <w:szCs w:val="18"/>
              </w:rPr>
              <w:t>One third did not answer</w:t>
            </w:r>
          </w:p>
        </w:tc>
      </w:tr>
      <w:tr w:rsidR="0064473D" w14:paraId="38C1BFB1" w14:textId="77777777">
        <w:trPr>
          <w:jc w:val="center"/>
        </w:trPr>
        <w:tc>
          <w:tcPr>
            <w:tcW w:w="2493" w:type="dxa"/>
            <w:tcMar>
              <w:top w:w="80" w:type="dxa"/>
              <w:left w:w="90" w:type="dxa"/>
              <w:bottom w:w="80" w:type="dxa"/>
              <w:right w:w="90" w:type="dxa"/>
            </w:tcMar>
            <w:vAlign w:val="center"/>
          </w:tcPr>
          <w:p w14:paraId="71505ECE" w14:textId="77777777" w:rsidR="0064473D" w:rsidRPr="005C36C3" w:rsidRDefault="003C3567">
            <w:pPr>
              <w:rPr>
                <w:sz w:val="18"/>
                <w:szCs w:val="18"/>
              </w:rPr>
            </w:pPr>
            <w:r w:rsidRPr="005C36C3">
              <w:rPr>
                <w:b/>
                <w:sz w:val="18"/>
                <w:szCs w:val="18"/>
              </w:rPr>
              <w:t>Concerns / additional comments</w:t>
            </w:r>
          </w:p>
        </w:tc>
        <w:tc>
          <w:tcPr>
            <w:tcW w:w="2493" w:type="dxa"/>
            <w:tcMar>
              <w:top w:w="80" w:type="dxa"/>
              <w:left w:w="90" w:type="dxa"/>
              <w:bottom w:w="80" w:type="dxa"/>
              <w:right w:w="90" w:type="dxa"/>
            </w:tcMar>
            <w:vAlign w:val="center"/>
          </w:tcPr>
          <w:p w14:paraId="33520903" w14:textId="77777777" w:rsidR="0064473D" w:rsidRPr="005C36C3" w:rsidRDefault="003C3567">
            <w:pPr>
              <w:jc w:val="center"/>
              <w:rPr>
                <w:sz w:val="18"/>
                <w:szCs w:val="18"/>
              </w:rPr>
            </w:pPr>
            <w:r w:rsidRPr="005C36C3">
              <w:rPr>
                <w:sz w:val="18"/>
                <w:szCs w:val="18"/>
              </w:rPr>
              <w:t>49</w:t>
            </w:r>
          </w:p>
        </w:tc>
        <w:tc>
          <w:tcPr>
            <w:tcW w:w="2493" w:type="dxa"/>
            <w:tcMar>
              <w:top w:w="80" w:type="dxa"/>
              <w:left w:w="90" w:type="dxa"/>
              <w:bottom w:w="80" w:type="dxa"/>
              <w:right w:w="90" w:type="dxa"/>
            </w:tcMar>
            <w:vAlign w:val="center"/>
          </w:tcPr>
          <w:p w14:paraId="6D307B73" w14:textId="77777777" w:rsidR="0064473D" w:rsidRPr="005C36C3" w:rsidRDefault="003C3567">
            <w:pPr>
              <w:jc w:val="center"/>
              <w:rPr>
                <w:sz w:val="18"/>
                <w:szCs w:val="18"/>
              </w:rPr>
            </w:pPr>
            <w:r w:rsidRPr="005C36C3">
              <w:rPr>
                <w:sz w:val="18"/>
                <w:szCs w:val="18"/>
              </w:rPr>
              <w:t>65.33%</w:t>
            </w:r>
          </w:p>
        </w:tc>
        <w:tc>
          <w:tcPr>
            <w:tcW w:w="2493" w:type="dxa"/>
            <w:tcMar>
              <w:top w:w="80" w:type="dxa"/>
              <w:left w:w="90" w:type="dxa"/>
              <w:bottom w:w="80" w:type="dxa"/>
              <w:right w:w="90" w:type="dxa"/>
            </w:tcMar>
            <w:vAlign w:val="center"/>
          </w:tcPr>
          <w:p w14:paraId="77FCCFED" w14:textId="77777777" w:rsidR="0064473D" w:rsidRPr="005C36C3" w:rsidRDefault="003C3567">
            <w:pPr>
              <w:rPr>
                <w:sz w:val="18"/>
                <w:szCs w:val="18"/>
              </w:rPr>
            </w:pPr>
            <w:r w:rsidRPr="005C36C3">
              <w:rPr>
                <w:sz w:val="18"/>
                <w:szCs w:val="18"/>
              </w:rPr>
              <w:t>Free-text comments not supplied</w:t>
            </w:r>
          </w:p>
        </w:tc>
      </w:tr>
    </w:tbl>
    <w:p w14:paraId="7BE3C83B" w14:textId="77777777" w:rsidR="0064473D" w:rsidRDefault="003C3567">
      <w:pPr>
        <w:pStyle w:val="BodyText"/>
      </w:pPr>
      <w:r>
        <w:t>Only 49 or 50 residents answered the final finance and concerns questions. Those findings represent approximately two thirds of the resident-filtered sample, not all 75 Bradley Stoke respondents. This is a material limitation and must be stated whenever the finance results are presented.</w:t>
      </w:r>
    </w:p>
    <w:p w14:paraId="6C8584F4" w14:textId="77777777" w:rsidR="0064473D" w:rsidRDefault="003C3567">
      <w:pPr>
        <w:pStyle w:val="Heading2"/>
      </w:pPr>
      <w:r>
        <w:t>Material Differences Identified by Resident Filtering</w:t>
      </w:r>
    </w:p>
    <w:tbl>
      <w:tblPr>
        <w:tblW w:w="0" w:type="auto"/>
        <w:jc w:val="center"/>
        <w:tblBorders>
          <w:top w:val="single" w:sz="4" w:space="0" w:color="B7C7C4"/>
          <w:left w:val="single" w:sz="4" w:space="0" w:color="B7C7C4"/>
          <w:bottom w:val="single" w:sz="4" w:space="0" w:color="B7C7C4"/>
          <w:right w:val="single" w:sz="4" w:space="0" w:color="B7C7C4"/>
          <w:insideH w:val="single" w:sz="4" w:space="0" w:color="B7C7C4"/>
          <w:insideV w:val="single" w:sz="4" w:space="0" w:color="B7C7C4"/>
        </w:tblBorders>
        <w:tblLook w:val="04A0" w:firstRow="1" w:lastRow="0" w:firstColumn="1" w:lastColumn="0" w:noHBand="0" w:noVBand="1"/>
      </w:tblPr>
      <w:tblGrid>
        <w:gridCol w:w="2412"/>
        <w:gridCol w:w="2410"/>
        <w:gridCol w:w="2398"/>
        <w:gridCol w:w="2408"/>
      </w:tblGrid>
      <w:tr w:rsidR="0064473D" w14:paraId="27636035" w14:textId="77777777">
        <w:trPr>
          <w:tblHeader/>
          <w:jc w:val="center"/>
        </w:trPr>
        <w:tc>
          <w:tcPr>
            <w:tcW w:w="2493" w:type="dxa"/>
            <w:shd w:val="clear" w:color="auto" w:fill="006B5F"/>
            <w:tcMar>
              <w:top w:w="80" w:type="dxa"/>
              <w:left w:w="90" w:type="dxa"/>
              <w:bottom w:w="80" w:type="dxa"/>
              <w:right w:w="90" w:type="dxa"/>
            </w:tcMar>
            <w:vAlign w:val="center"/>
          </w:tcPr>
          <w:p w14:paraId="594A78DA" w14:textId="77777777" w:rsidR="0064473D" w:rsidRDefault="003C3567">
            <w:r>
              <w:rPr>
                <w:b/>
                <w:color w:val="FFFFFF"/>
                <w:sz w:val="16"/>
              </w:rPr>
              <w:t>Measure</w:t>
            </w:r>
          </w:p>
        </w:tc>
        <w:tc>
          <w:tcPr>
            <w:tcW w:w="2493" w:type="dxa"/>
            <w:shd w:val="clear" w:color="auto" w:fill="006B5F"/>
            <w:tcMar>
              <w:top w:w="80" w:type="dxa"/>
              <w:left w:w="90" w:type="dxa"/>
              <w:bottom w:w="80" w:type="dxa"/>
              <w:right w:w="90" w:type="dxa"/>
            </w:tcMar>
            <w:vAlign w:val="center"/>
          </w:tcPr>
          <w:p w14:paraId="190B38E9" w14:textId="77777777" w:rsidR="0064473D" w:rsidRDefault="003C3567">
            <w:r>
              <w:rPr>
                <w:b/>
                <w:color w:val="FFFFFF"/>
                <w:sz w:val="16"/>
              </w:rPr>
              <w:t>All respondents</w:t>
            </w:r>
          </w:p>
        </w:tc>
        <w:tc>
          <w:tcPr>
            <w:tcW w:w="2493" w:type="dxa"/>
            <w:shd w:val="clear" w:color="auto" w:fill="006B5F"/>
            <w:tcMar>
              <w:top w:w="80" w:type="dxa"/>
              <w:left w:w="90" w:type="dxa"/>
              <w:bottom w:w="80" w:type="dxa"/>
              <w:right w:w="90" w:type="dxa"/>
            </w:tcMar>
            <w:vAlign w:val="center"/>
          </w:tcPr>
          <w:p w14:paraId="5E9303D5" w14:textId="77777777" w:rsidR="0064473D" w:rsidRDefault="003C3567">
            <w:r>
              <w:rPr>
                <w:b/>
                <w:color w:val="FFFFFF"/>
                <w:sz w:val="16"/>
              </w:rPr>
              <w:t>Residents</w:t>
            </w:r>
          </w:p>
        </w:tc>
        <w:tc>
          <w:tcPr>
            <w:tcW w:w="2493" w:type="dxa"/>
            <w:shd w:val="clear" w:color="auto" w:fill="006B5F"/>
            <w:tcMar>
              <w:top w:w="80" w:type="dxa"/>
              <w:left w:w="90" w:type="dxa"/>
              <w:bottom w:w="80" w:type="dxa"/>
              <w:right w:w="90" w:type="dxa"/>
            </w:tcMar>
            <w:vAlign w:val="center"/>
          </w:tcPr>
          <w:p w14:paraId="4906DD44" w14:textId="77777777" w:rsidR="0064473D" w:rsidRDefault="003C3567">
            <w:r>
              <w:rPr>
                <w:b/>
                <w:color w:val="FFFFFF"/>
                <w:sz w:val="16"/>
              </w:rPr>
              <w:t>Assessment</w:t>
            </w:r>
          </w:p>
        </w:tc>
      </w:tr>
      <w:tr w:rsidR="0064473D" w14:paraId="24A96BC0" w14:textId="77777777">
        <w:trPr>
          <w:jc w:val="center"/>
        </w:trPr>
        <w:tc>
          <w:tcPr>
            <w:tcW w:w="2493" w:type="dxa"/>
            <w:tcMar>
              <w:top w:w="80" w:type="dxa"/>
              <w:left w:w="90" w:type="dxa"/>
              <w:bottom w:w="80" w:type="dxa"/>
              <w:right w:w="90" w:type="dxa"/>
            </w:tcMar>
            <w:vAlign w:val="center"/>
          </w:tcPr>
          <w:p w14:paraId="2A6E9750" w14:textId="77777777" w:rsidR="0064473D" w:rsidRPr="005C36C3" w:rsidRDefault="003C3567">
            <w:pPr>
              <w:rPr>
                <w:sz w:val="18"/>
                <w:szCs w:val="18"/>
              </w:rPr>
            </w:pPr>
            <w:r w:rsidRPr="005C36C3">
              <w:rPr>
                <w:b/>
                <w:sz w:val="18"/>
                <w:szCs w:val="18"/>
              </w:rPr>
              <w:t>Weekly use</w:t>
            </w:r>
          </w:p>
        </w:tc>
        <w:tc>
          <w:tcPr>
            <w:tcW w:w="2493" w:type="dxa"/>
            <w:tcMar>
              <w:top w:w="80" w:type="dxa"/>
              <w:left w:w="90" w:type="dxa"/>
              <w:bottom w:w="80" w:type="dxa"/>
              <w:right w:w="90" w:type="dxa"/>
            </w:tcMar>
            <w:vAlign w:val="center"/>
          </w:tcPr>
          <w:p w14:paraId="6FAFAB88" w14:textId="77777777" w:rsidR="0064473D" w:rsidRPr="005C36C3" w:rsidRDefault="003C3567">
            <w:pPr>
              <w:jc w:val="center"/>
              <w:rPr>
                <w:sz w:val="18"/>
                <w:szCs w:val="18"/>
              </w:rPr>
            </w:pPr>
            <w:r w:rsidRPr="005C36C3">
              <w:rPr>
                <w:sz w:val="18"/>
                <w:szCs w:val="18"/>
              </w:rPr>
              <w:t>40.00%</w:t>
            </w:r>
          </w:p>
        </w:tc>
        <w:tc>
          <w:tcPr>
            <w:tcW w:w="2493" w:type="dxa"/>
            <w:tcMar>
              <w:top w:w="80" w:type="dxa"/>
              <w:left w:w="90" w:type="dxa"/>
              <w:bottom w:w="80" w:type="dxa"/>
              <w:right w:w="90" w:type="dxa"/>
            </w:tcMar>
            <w:vAlign w:val="center"/>
          </w:tcPr>
          <w:p w14:paraId="41546795" w14:textId="77777777" w:rsidR="0064473D" w:rsidRPr="005C36C3" w:rsidRDefault="003C3567">
            <w:pPr>
              <w:jc w:val="center"/>
              <w:rPr>
                <w:sz w:val="18"/>
                <w:szCs w:val="18"/>
              </w:rPr>
            </w:pPr>
            <w:r w:rsidRPr="005C36C3">
              <w:rPr>
                <w:sz w:val="18"/>
                <w:szCs w:val="18"/>
              </w:rPr>
              <w:t>29.33%</w:t>
            </w:r>
          </w:p>
        </w:tc>
        <w:tc>
          <w:tcPr>
            <w:tcW w:w="2493" w:type="dxa"/>
            <w:tcMar>
              <w:top w:w="80" w:type="dxa"/>
              <w:left w:w="90" w:type="dxa"/>
              <w:bottom w:w="80" w:type="dxa"/>
              <w:right w:w="90" w:type="dxa"/>
            </w:tcMar>
            <w:vAlign w:val="center"/>
          </w:tcPr>
          <w:p w14:paraId="5E169D9D" w14:textId="77777777" w:rsidR="0064473D" w:rsidRPr="005C36C3" w:rsidRDefault="003C3567">
            <w:pPr>
              <w:rPr>
                <w:sz w:val="18"/>
                <w:szCs w:val="18"/>
              </w:rPr>
            </w:pPr>
            <w:r w:rsidRPr="005C36C3">
              <w:rPr>
                <w:sz w:val="18"/>
                <w:szCs w:val="18"/>
              </w:rPr>
              <w:t>Materially lower among residents</w:t>
            </w:r>
          </w:p>
        </w:tc>
      </w:tr>
      <w:tr w:rsidR="0064473D" w14:paraId="2030020B" w14:textId="77777777">
        <w:trPr>
          <w:jc w:val="center"/>
        </w:trPr>
        <w:tc>
          <w:tcPr>
            <w:tcW w:w="2493" w:type="dxa"/>
            <w:tcMar>
              <w:top w:w="80" w:type="dxa"/>
              <w:left w:w="90" w:type="dxa"/>
              <w:bottom w:w="80" w:type="dxa"/>
              <w:right w:w="90" w:type="dxa"/>
            </w:tcMar>
            <w:vAlign w:val="center"/>
          </w:tcPr>
          <w:p w14:paraId="129764D1" w14:textId="77777777" w:rsidR="0064473D" w:rsidRPr="005C36C3" w:rsidRDefault="003C3567">
            <w:pPr>
              <w:rPr>
                <w:sz w:val="18"/>
                <w:szCs w:val="18"/>
              </w:rPr>
            </w:pPr>
            <w:r w:rsidRPr="005C36C3">
              <w:rPr>
                <w:b/>
                <w:sz w:val="18"/>
                <w:szCs w:val="18"/>
              </w:rPr>
              <w:t>Long-term importance</w:t>
            </w:r>
          </w:p>
        </w:tc>
        <w:tc>
          <w:tcPr>
            <w:tcW w:w="2493" w:type="dxa"/>
            <w:tcMar>
              <w:top w:w="80" w:type="dxa"/>
              <w:left w:w="90" w:type="dxa"/>
              <w:bottom w:w="80" w:type="dxa"/>
              <w:right w:w="90" w:type="dxa"/>
            </w:tcMar>
            <w:vAlign w:val="center"/>
          </w:tcPr>
          <w:p w14:paraId="55036504" w14:textId="77777777" w:rsidR="0064473D" w:rsidRPr="005C36C3" w:rsidRDefault="003C3567">
            <w:pPr>
              <w:jc w:val="center"/>
              <w:rPr>
                <w:sz w:val="18"/>
                <w:szCs w:val="18"/>
              </w:rPr>
            </w:pPr>
            <w:r w:rsidRPr="005C36C3">
              <w:rPr>
                <w:sz w:val="18"/>
                <w:szCs w:val="18"/>
              </w:rPr>
              <w:t>8.72/10</w:t>
            </w:r>
          </w:p>
        </w:tc>
        <w:tc>
          <w:tcPr>
            <w:tcW w:w="2493" w:type="dxa"/>
            <w:tcMar>
              <w:top w:w="80" w:type="dxa"/>
              <w:left w:w="90" w:type="dxa"/>
              <w:bottom w:w="80" w:type="dxa"/>
              <w:right w:w="90" w:type="dxa"/>
            </w:tcMar>
            <w:vAlign w:val="center"/>
          </w:tcPr>
          <w:p w14:paraId="7E47220A" w14:textId="77777777" w:rsidR="0064473D" w:rsidRPr="005C36C3" w:rsidRDefault="003C3567">
            <w:pPr>
              <w:jc w:val="center"/>
              <w:rPr>
                <w:sz w:val="18"/>
                <w:szCs w:val="18"/>
              </w:rPr>
            </w:pPr>
            <w:r w:rsidRPr="005C36C3">
              <w:rPr>
                <w:sz w:val="18"/>
                <w:szCs w:val="18"/>
              </w:rPr>
              <w:t>8.42/10</w:t>
            </w:r>
          </w:p>
        </w:tc>
        <w:tc>
          <w:tcPr>
            <w:tcW w:w="2493" w:type="dxa"/>
            <w:tcMar>
              <w:top w:w="80" w:type="dxa"/>
              <w:left w:w="90" w:type="dxa"/>
              <w:bottom w:w="80" w:type="dxa"/>
              <w:right w:w="90" w:type="dxa"/>
            </w:tcMar>
            <w:vAlign w:val="center"/>
          </w:tcPr>
          <w:p w14:paraId="09F1E6CD" w14:textId="77777777" w:rsidR="0064473D" w:rsidRPr="005C36C3" w:rsidRDefault="003C3567">
            <w:pPr>
              <w:rPr>
                <w:sz w:val="18"/>
                <w:szCs w:val="18"/>
              </w:rPr>
            </w:pPr>
            <w:r w:rsidRPr="005C36C3">
              <w:rPr>
                <w:sz w:val="18"/>
                <w:szCs w:val="18"/>
              </w:rPr>
              <w:t>Still strong; slightly less emphatic</w:t>
            </w:r>
          </w:p>
        </w:tc>
      </w:tr>
      <w:tr w:rsidR="0064473D" w14:paraId="74E972C1" w14:textId="77777777">
        <w:trPr>
          <w:jc w:val="center"/>
        </w:trPr>
        <w:tc>
          <w:tcPr>
            <w:tcW w:w="2493" w:type="dxa"/>
            <w:tcMar>
              <w:top w:w="80" w:type="dxa"/>
              <w:left w:w="90" w:type="dxa"/>
              <w:bottom w:w="80" w:type="dxa"/>
              <w:right w:w="90" w:type="dxa"/>
            </w:tcMar>
            <w:vAlign w:val="center"/>
          </w:tcPr>
          <w:p w14:paraId="6CCB22FB" w14:textId="77777777" w:rsidR="0064473D" w:rsidRPr="005C36C3" w:rsidRDefault="003C3567">
            <w:pPr>
              <w:rPr>
                <w:sz w:val="18"/>
                <w:szCs w:val="18"/>
              </w:rPr>
            </w:pPr>
            <w:r w:rsidRPr="005C36C3">
              <w:rPr>
                <w:b/>
                <w:sz w:val="18"/>
                <w:szCs w:val="18"/>
              </w:rPr>
              <w:t>Likely increased use</w:t>
            </w:r>
          </w:p>
        </w:tc>
        <w:tc>
          <w:tcPr>
            <w:tcW w:w="2493" w:type="dxa"/>
            <w:tcMar>
              <w:top w:w="80" w:type="dxa"/>
              <w:left w:w="90" w:type="dxa"/>
              <w:bottom w:w="80" w:type="dxa"/>
              <w:right w:w="90" w:type="dxa"/>
            </w:tcMar>
            <w:vAlign w:val="center"/>
          </w:tcPr>
          <w:p w14:paraId="4809DFDC" w14:textId="77777777" w:rsidR="0064473D" w:rsidRPr="005C36C3" w:rsidRDefault="003C3567">
            <w:pPr>
              <w:jc w:val="center"/>
              <w:rPr>
                <w:sz w:val="18"/>
                <w:szCs w:val="18"/>
              </w:rPr>
            </w:pPr>
            <w:r w:rsidRPr="005C36C3">
              <w:rPr>
                <w:sz w:val="18"/>
                <w:szCs w:val="18"/>
              </w:rPr>
              <w:t>7.94/10</w:t>
            </w:r>
          </w:p>
        </w:tc>
        <w:tc>
          <w:tcPr>
            <w:tcW w:w="2493" w:type="dxa"/>
            <w:tcMar>
              <w:top w:w="80" w:type="dxa"/>
              <w:left w:w="90" w:type="dxa"/>
              <w:bottom w:w="80" w:type="dxa"/>
              <w:right w:w="90" w:type="dxa"/>
            </w:tcMar>
            <w:vAlign w:val="center"/>
          </w:tcPr>
          <w:p w14:paraId="3DDDCB52" w14:textId="77777777" w:rsidR="0064473D" w:rsidRPr="005C36C3" w:rsidRDefault="003C3567">
            <w:pPr>
              <w:jc w:val="center"/>
              <w:rPr>
                <w:sz w:val="18"/>
                <w:szCs w:val="18"/>
              </w:rPr>
            </w:pPr>
            <w:r w:rsidRPr="005C36C3">
              <w:rPr>
                <w:sz w:val="18"/>
                <w:szCs w:val="18"/>
              </w:rPr>
              <w:t>7.77/10</w:t>
            </w:r>
          </w:p>
        </w:tc>
        <w:tc>
          <w:tcPr>
            <w:tcW w:w="2493" w:type="dxa"/>
            <w:tcMar>
              <w:top w:w="80" w:type="dxa"/>
              <w:left w:w="90" w:type="dxa"/>
              <w:bottom w:w="80" w:type="dxa"/>
              <w:right w:w="90" w:type="dxa"/>
            </w:tcMar>
            <w:vAlign w:val="center"/>
          </w:tcPr>
          <w:p w14:paraId="00CDDED0" w14:textId="77777777" w:rsidR="0064473D" w:rsidRPr="005C36C3" w:rsidRDefault="003C3567">
            <w:pPr>
              <w:rPr>
                <w:sz w:val="18"/>
                <w:szCs w:val="18"/>
              </w:rPr>
            </w:pPr>
            <w:r w:rsidRPr="005C36C3">
              <w:rPr>
                <w:sz w:val="18"/>
                <w:szCs w:val="18"/>
              </w:rPr>
              <w:t>Still positive; marginally lower</w:t>
            </w:r>
          </w:p>
        </w:tc>
      </w:tr>
      <w:tr w:rsidR="0064473D" w14:paraId="087BF152" w14:textId="77777777">
        <w:trPr>
          <w:jc w:val="center"/>
        </w:trPr>
        <w:tc>
          <w:tcPr>
            <w:tcW w:w="2493" w:type="dxa"/>
            <w:tcMar>
              <w:top w:w="80" w:type="dxa"/>
              <w:left w:w="90" w:type="dxa"/>
              <w:bottom w:w="80" w:type="dxa"/>
              <w:right w:w="90" w:type="dxa"/>
            </w:tcMar>
            <w:vAlign w:val="center"/>
          </w:tcPr>
          <w:p w14:paraId="3AE441DD" w14:textId="77777777" w:rsidR="0064473D" w:rsidRPr="005C36C3" w:rsidRDefault="003C3567">
            <w:pPr>
              <w:rPr>
                <w:sz w:val="18"/>
                <w:szCs w:val="18"/>
              </w:rPr>
            </w:pPr>
            <w:r w:rsidRPr="005C36C3">
              <w:rPr>
                <w:b/>
                <w:sz w:val="18"/>
                <w:szCs w:val="18"/>
              </w:rPr>
              <w:t>Café / social space</w:t>
            </w:r>
          </w:p>
        </w:tc>
        <w:tc>
          <w:tcPr>
            <w:tcW w:w="2493" w:type="dxa"/>
            <w:tcMar>
              <w:top w:w="80" w:type="dxa"/>
              <w:left w:w="90" w:type="dxa"/>
              <w:bottom w:w="80" w:type="dxa"/>
              <w:right w:w="90" w:type="dxa"/>
            </w:tcMar>
            <w:vAlign w:val="center"/>
          </w:tcPr>
          <w:p w14:paraId="61BF81F1" w14:textId="77777777" w:rsidR="0064473D" w:rsidRPr="005C36C3" w:rsidRDefault="003C3567">
            <w:pPr>
              <w:jc w:val="center"/>
              <w:rPr>
                <w:sz w:val="18"/>
                <w:szCs w:val="18"/>
              </w:rPr>
            </w:pPr>
            <w:r w:rsidRPr="005C36C3">
              <w:rPr>
                <w:sz w:val="18"/>
                <w:szCs w:val="18"/>
              </w:rPr>
              <w:t>63.38%</w:t>
            </w:r>
          </w:p>
        </w:tc>
        <w:tc>
          <w:tcPr>
            <w:tcW w:w="2493" w:type="dxa"/>
            <w:tcMar>
              <w:top w:w="80" w:type="dxa"/>
              <w:left w:w="90" w:type="dxa"/>
              <w:bottom w:w="80" w:type="dxa"/>
              <w:right w:w="90" w:type="dxa"/>
            </w:tcMar>
            <w:vAlign w:val="center"/>
          </w:tcPr>
          <w:p w14:paraId="0AE8DF68" w14:textId="77777777" w:rsidR="0064473D" w:rsidRPr="005C36C3" w:rsidRDefault="003C3567">
            <w:pPr>
              <w:jc w:val="center"/>
              <w:rPr>
                <w:sz w:val="18"/>
                <w:szCs w:val="18"/>
              </w:rPr>
            </w:pPr>
            <w:r w:rsidRPr="005C36C3">
              <w:rPr>
                <w:sz w:val="18"/>
                <w:szCs w:val="18"/>
              </w:rPr>
              <w:t>66.67%</w:t>
            </w:r>
          </w:p>
        </w:tc>
        <w:tc>
          <w:tcPr>
            <w:tcW w:w="2493" w:type="dxa"/>
            <w:tcMar>
              <w:top w:w="80" w:type="dxa"/>
              <w:left w:w="90" w:type="dxa"/>
              <w:bottom w:w="80" w:type="dxa"/>
              <w:right w:w="90" w:type="dxa"/>
            </w:tcMar>
            <w:vAlign w:val="center"/>
          </w:tcPr>
          <w:p w14:paraId="22CF5EFE" w14:textId="77777777" w:rsidR="0064473D" w:rsidRPr="005C36C3" w:rsidRDefault="003C3567">
            <w:pPr>
              <w:rPr>
                <w:sz w:val="18"/>
                <w:szCs w:val="18"/>
              </w:rPr>
            </w:pPr>
            <w:r w:rsidRPr="005C36C3">
              <w:rPr>
                <w:sz w:val="18"/>
                <w:szCs w:val="18"/>
              </w:rPr>
              <w:t>Slightly stronger resident priority</w:t>
            </w:r>
          </w:p>
        </w:tc>
      </w:tr>
      <w:tr w:rsidR="0064473D" w14:paraId="6894C14E" w14:textId="77777777">
        <w:trPr>
          <w:jc w:val="center"/>
        </w:trPr>
        <w:tc>
          <w:tcPr>
            <w:tcW w:w="2493" w:type="dxa"/>
            <w:tcMar>
              <w:top w:w="80" w:type="dxa"/>
              <w:left w:w="90" w:type="dxa"/>
              <w:bottom w:w="80" w:type="dxa"/>
              <w:right w:w="90" w:type="dxa"/>
            </w:tcMar>
            <w:vAlign w:val="center"/>
          </w:tcPr>
          <w:p w14:paraId="15E58F5D" w14:textId="77777777" w:rsidR="0064473D" w:rsidRPr="005C36C3" w:rsidRDefault="003C3567">
            <w:pPr>
              <w:rPr>
                <w:sz w:val="18"/>
                <w:szCs w:val="18"/>
              </w:rPr>
            </w:pPr>
            <w:r w:rsidRPr="005C36C3">
              <w:rPr>
                <w:b/>
                <w:sz w:val="18"/>
                <w:szCs w:val="18"/>
              </w:rPr>
              <w:t>Sports changing rooms</w:t>
            </w:r>
          </w:p>
        </w:tc>
        <w:tc>
          <w:tcPr>
            <w:tcW w:w="2493" w:type="dxa"/>
            <w:tcMar>
              <w:top w:w="80" w:type="dxa"/>
              <w:left w:w="90" w:type="dxa"/>
              <w:bottom w:w="80" w:type="dxa"/>
              <w:right w:w="90" w:type="dxa"/>
            </w:tcMar>
            <w:vAlign w:val="center"/>
          </w:tcPr>
          <w:p w14:paraId="22B99B95" w14:textId="77777777" w:rsidR="0064473D" w:rsidRPr="005C36C3" w:rsidRDefault="003C3567">
            <w:pPr>
              <w:jc w:val="center"/>
              <w:rPr>
                <w:sz w:val="18"/>
                <w:szCs w:val="18"/>
              </w:rPr>
            </w:pPr>
            <w:r w:rsidRPr="005C36C3">
              <w:rPr>
                <w:sz w:val="18"/>
                <w:szCs w:val="18"/>
              </w:rPr>
              <w:t>42.25%</w:t>
            </w:r>
          </w:p>
        </w:tc>
        <w:tc>
          <w:tcPr>
            <w:tcW w:w="2493" w:type="dxa"/>
            <w:tcMar>
              <w:top w:w="80" w:type="dxa"/>
              <w:left w:w="90" w:type="dxa"/>
              <w:bottom w:w="80" w:type="dxa"/>
              <w:right w:w="90" w:type="dxa"/>
            </w:tcMar>
            <w:vAlign w:val="center"/>
          </w:tcPr>
          <w:p w14:paraId="459270D4" w14:textId="77777777" w:rsidR="0064473D" w:rsidRPr="005C36C3" w:rsidRDefault="003C3567">
            <w:pPr>
              <w:jc w:val="center"/>
              <w:rPr>
                <w:sz w:val="18"/>
                <w:szCs w:val="18"/>
              </w:rPr>
            </w:pPr>
            <w:r w:rsidRPr="005C36C3">
              <w:rPr>
                <w:sz w:val="18"/>
                <w:szCs w:val="18"/>
              </w:rPr>
              <w:t>36.84%</w:t>
            </w:r>
          </w:p>
        </w:tc>
        <w:tc>
          <w:tcPr>
            <w:tcW w:w="2493" w:type="dxa"/>
            <w:tcMar>
              <w:top w:w="80" w:type="dxa"/>
              <w:left w:w="90" w:type="dxa"/>
              <w:bottom w:w="80" w:type="dxa"/>
              <w:right w:w="90" w:type="dxa"/>
            </w:tcMar>
            <w:vAlign w:val="center"/>
          </w:tcPr>
          <w:p w14:paraId="1DFF5CB8" w14:textId="77777777" w:rsidR="0064473D" w:rsidRPr="005C36C3" w:rsidRDefault="003C3567">
            <w:pPr>
              <w:rPr>
                <w:sz w:val="18"/>
                <w:szCs w:val="18"/>
              </w:rPr>
            </w:pPr>
            <w:r w:rsidRPr="005C36C3">
              <w:rPr>
                <w:sz w:val="18"/>
                <w:szCs w:val="18"/>
              </w:rPr>
              <w:t>Lower resident priority</w:t>
            </w:r>
          </w:p>
        </w:tc>
      </w:tr>
      <w:tr w:rsidR="0064473D" w14:paraId="77998847" w14:textId="77777777">
        <w:trPr>
          <w:jc w:val="center"/>
        </w:trPr>
        <w:tc>
          <w:tcPr>
            <w:tcW w:w="2493" w:type="dxa"/>
            <w:tcMar>
              <w:top w:w="80" w:type="dxa"/>
              <w:left w:w="90" w:type="dxa"/>
              <w:bottom w:w="80" w:type="dxa"/>
              <w:right w:w="90" w:type="dxa"/>
            </w:tcMar>
            <w:vAlign w:val="center"/>
          </w:tcPr>
          <w:p w14:paraId="2DC8AB99" w14:textId="77777777" w:rsidR="0064473D" w:rsidRPr="005C36C3" w:rsidRDefault="003C3567">
            <w:pPr>
              <w:rPr>
                <w:sz w:val="18"/>
                <w:szCs w:val="18"/>
              </w:rPr>
            </w:pPr>
            <w:r w:rsidRPr="005C36C3">
              <w:rPr>
                <w:b/>
                <w:sz w:val="18"/>
                <w:szCs w:val="18"/>
              </w:rPr>
              <w:t>No funding preference</w:t>
            </w:r>
          </w:p>
        </w:tc>
        <w:tc>
          <w:tcPr>
            <w:tcW w:w="2493" w:type="dxa"/>
            <w:tcMar>
              <w:top w:w="80" w:type="dxa"/>
              <w:left w:w="90" w:type="dxa"/>
              <w:bottom w:w="80" w:type="dxa"/>
              <w:right w:w="90" w:type="dxa"/>
            </w:tcMar>
            <w:vAlign w:val="center"/>
          </w:tcPr>
          <w:p w14:paraId="066BD365" w14:textId="77777777" w:rsidR="0064473D" w:rsidRPr="005C36C3" w:rsidRDefault="003C3567">
            <w:pPr>
              <w:jc w:val="center"/>
              <w:rPr>
                <w:sz w:val="18"/>
                <w:szCs w:val="18"/>
              </w:rPr>
            </w:pPr>
            <w:r w:rsidRPr="005C36C3">
              <w:rPr>
                <w:sz w:val="18"/>
                <w:szCs w:val="18"/>
              </w:rPr>
              <w:t>29.69%</w:t>
            </w:r>
          </w:p>
        </w:tc>
        <w:tc>
          <w:tcPr>
            <w:tcW w:w="2493" w:type="dxa"/>
            <w:tcMar>
              <w:top w:w="80" w:type="dxa"/>
              <w:left w:w="90" w:type="dxa"/>
              <w:bottom w:w="80" w:type="dxa"/>
              <w:right w:w="90" w:type="dxa"/>
            </w:tcMar>
            <w:vAlign w:val="center"/>
          </w:tcPr>
          <w:p w14:paraId="71996FC1" w14:textId="77777777" w:rsidR="0064473D" w:rsidRPr="005C36C3" w:rsidRDefault="003C3567">
            <w:pPr>
              <w:jc w:val="center"/>
              <w:rPr>
                <w:sz w:val="18"/>
                <w:szCs w:val="18"/>
              </w:rPr>
            </w:pPr>
            <w:r w:rsidRPr="005C36C3">
              <w:rPr>
                <w:sz w:val="18"/>
                <w:szCs w:val="18"/>
              </w:rPr>
              <w:t>22.00%</w:t>
            </w:r>
          </w:p>
        </w:tc>
        <w:tc>
          <w:tcPr>
            <w:tcW w:w="2493" w:type="dxa"/>
            <w:tcMar>
              <w:top w:w="80" w:type="dxa"/>
              <w:left w:w="90" w:type="dxa"/>
              <w:bottom w:w="80" w:type="dxa"/>
              <w:right w:w="90" w:type="dxa"/>
            </w:tcMar>
            <w:vAlign w:val="center"/>
          </w:tcPr>
          <w:p w14:paraId="26612372" w14:textId="77777777" w:rsidR="0064473D" w:rsidRPr="005C36C3" w:rsidRDefault="003C3567">
            <w:pPr>
              <w:rPr>
                <w:sz w:val="18"/>
                <w:szCs w:val="18"/>
              </w:rPr>
            </w:pPr>
            <w:r w:rsidRPr="005C36C3">
              <w:rPr>
                <w:sz w:val="18"/>
                <w:szCs w:val="18"/>
              </w:rPr>
              <w:t>Residents more likely to state a view</w:t>
            </w:r>
          </w:p>
        </w:tc>
      </w:tr>
      <w:tr w:rsidR="0064473D" w14:paraId="54B0B102" w14:textId="77777777">
        <w:trPr>
          <w:jc w:val="center"/>
        </w:trPr>
        <w:tc>
          <w:tcPr>
            <w:tcW w:w="2493" w:type="dxa"/>
            <w:tcMar>
              <w:top w:w="80" w:type="dxa"/>
              <w:left w:w="90" w:type="dxa"/>
              <w:bottom w:w="80" w:type="dxa"/>
              <w:right w:w="90" w:type="dxa"/>
            </w:tcMar>
            <w:vAlign w:val="center"/>
          </w:tcPr>
          <w:p w14:paraId="580E1104" w14:textId="77777777" w:rsidR="0064473D" w:rsidRPr="005C36C3" w:rsidRDefault="003C3567">
            <w:pPr>
              <w:rPr>
                <w:sz w:val="18"/>
                <w:szCs w:val="18"/>
              </w:rPr>
            </w:pPr>
            <w:r w:rsidRPr="005C36C3">
              <w:rPr>
                <w:b/>
                <w:sz w:val="18"/>
                <w:szCs w:val="18"/>
              </w:rPr>
              <w:t>Do not support proceeding</w:t>
            </w:r>
          </w:p>
        </w:tc>
        <w:tc>
          <w:tcPr>
            <w:tcW w:w="2493" w:type="dxa"/>
            <w:tcMar>
              <w:top w:w="80" w:type="dxa"/>
              <w:left w:w="90" w:type="dxa"/>
              <w:bottom w:w="80" w:type="dxa"/>
              <w:right w:w="90" w:type="dxa"/>
            </w:tcMar>
            <w:vAlign w:val="center"/>
          </w:tcPr>
          <w:p w14:paraId="2EAF9ECC" w14:textId="77777777" w:rsidR="0064473D" w:rsidRPr="005C36C3" w:rsidRDefault="003C3567">
            <w:pPr>
              <w:jc w:val="center"/>
              <w:rPr>
                <w:sz w:val="18"/>
                <w:szCs w:val="18"/>
              </w:rPr>
            </w:pPr>
            <w:r w:rsidRPr="005C36C3">
              <w:rPr>
                <w:sz w:val="18"/>
                <w:szCs w:val="18"/>
              </w:rPr>
              <w:t>14.06%</w:t>
            </w:r>
          </w:p>
        </w:tc>
        <w:tc>
          <w:tcPr>
            <w:tcW w:w="2493" w:type="dxa"/>
            <w:tcMar>
              <w:top w:w="80" w:type="dxa"/>
              <w:left w:w="90" w:type="dxa"/>
              <w:bottom w:w="80" w:type="dxa"/>
              <w:right w:w="90" w:type="dxa"/>
            </w:tcMar>
            <w:vAlign w:val="center"/>
          </w:tcPr>
          <w:p w14:paraId="226BB182" w14:textId="77777777" w:rsidR="0064473D" w:rsidRPr="005C36C3" w:rsidRDefault="003C3567">
            <w:pPr>
              <w:jc w:val="center"/>
              <w:rPr>
                <w:sz w:val="18"/>
                <w:szCs w:val="18"/>
              </w:rPr>
            </w:pPr>
            <w:r w:rsidRPr="005C36C3">
              <w:rPr>
                <w:sz w:val="18"/>
                <w:szCs w:val="18"/>
              </w:rPr>
              <w:t>18.00%</w:t>
            </w:r>
          </w:p>
        </w:tc>
        <w:tc>
          <w:tcPr>
            <w:tcW w:w="2493" w:type="dxa"/>
            <w:tcMar>
              <w:top w:w="80" w:type="dxa"/>
              <w:left w:w="90" w:type="dxa"/>
              <w:bottom w:w="80" w:type="dxa"/>
              <w:right w:w="90" w:type="dxa"/>
            </w:tcMar>
            <w:vAlign w:val="center"/>
          </w:tcPr>
          <w:p w14:paraId="188580F3" w14:textId="77777777" w:rsidR="0064473D" w:rsidRPr="005C36C3" w:rsidRDefault="003C3567">
            <w:pPr>
              <w:rPr>
                <w:sz w:val="18"/>
                <w:szCs w:val="18"/>
              </w:rPr>
            </w:pPr>
            <w:r w:rsidRPr="005C36C3">
              <w:rPr>
                <w:sz w:val="18"/>
                <w:szCs w:val="18"/>
              </w:rPr>
              <w:t>Higher resident opposition</w:t>
            </w:r>
          </w:p>
        </w:tc>
      </w:tr>
      <w:tr w:rsidR="0064473D" w14:paraId="618EE7A2" w14:textId="77777777">
        <w:trPr>
          <w:jc w:val="center"/>
        </w:trPr>
        <w:tc>
          <w:tcPr>
            <w:tcW w:w="2493" w:type="dxa"/>
            <w:tcMar>
              <w:top w:w="80" w:type="dxa"/>
              <w:left w:w="90" w:type="dxa"/>
              <w:bottom w:w="80" w:type="dxa"/>
              <w:right w:w="90" w:type="dxa"/>
            </w:tcMar>
            <w:vAlign w:val="center"/>
          </w:tcPr>
          <w:p w14:paraId="1983858D" w14:textId="77777777" w:rsidR="0064473D" w:rsidRPr="005C36C3" w:rsidRDefault="003C3567">
            <w:pPr>
              <w:rPr>
                <w:sz w:val="18"/>
                <w:szCs w:val="18"/>
              </w:rPr>
            </w:pPr>
            <w:r w:rsidRPr="005C36C3">
              <w:rPr>
                <w:b/>
                <w:sz w:val="18"/>
                <w:szCs w:val="18"/>
              </w:rPr>
              <w:t>Borrowing / debt concern</w:t>
            </w:r>
          </w:p>
        </w:tc>
        <w:tc>
          <w:tcPr>
            <w:tcW w:w="2493" w:type="dxa"/>
            <w:tcMar>
              <w:top w:w="80" w:type="dxa"/>
              <w:left w:w="90" w:type="dxa"/>
              <w:bottom w:w="80" w:type="dxa"/>
              <w:right w:w="90" w:type="dxa"/>
            </w:tcMar>
            <w:vAlign w:val="center"/>
          </w:tcPr>
          <w:p w14:paraId="65A7344F" w14:textId="77777777" w:rsidR="0064473D" w:rsidRPr="005C36C3" w:rsidRDefault="003C3567">
            <w:pPr>
              <w:jc w:val="center"/>
              <w:rPr>
                <w:sz w:val="18"/>
                <w:szCs w:val="18"/>
              </w:rPr>
            </w:pPr>
            <w:r w:rsidRPr="005C36C3">
              <w:rPr>
                <w:sz w:val="18"/>
                <w:szCs w:val="18"/>
              </w:rPr>
              <w:t>33.33%</w:t>
            </w:r>
          </w:p>
        </w:tc>
        <w:tc>
          <w:tcPr>
            <w:tcW w:w="2493" w:type="dxa"/>
            <w:tcMar>
              <w:top w:w="80" w:type="dxa"/>
              <w:left w:w="90" w:type="dxa"/>
              <w:bottom w:w="80" w:type="dxa"/>
              <w:right w:w="90" w:type="dxa"/>
            </w:tcMar>
            <w:vAlign w:val="center"/>
          </w:tcPr>
          <w:p w14:paraId="5A8E9C7B" w14:textId="77777777" w:rsidR="0064473D" w:rsidRPr="005C36C3" w:rsidRDefault="003C3567">
            <w:pPr>
              <w:jc w:val="center"/>
              <w:rPr>
                <w:sz w:val="18"/>
                <w:szCs w:val="18"/>
              </w:rPr>
            </w:pPr>
            <w:r w:rsidRPr="005C36C3">
              <w:rPr>
                <w:sz w:val="18"/>
                <w:szCs w:val="18"/>
              </w:rPr>
              <w:t>38.78%</w:t>
            </w:r>
          </w:p>
        </w:tc>
        <w:tc>
          <w:tcPr>
            <w:tcW w:w="2493" w:type="dxa"/>
            <w:tcMar>
              <w:top w:w="80" w:type="dxa"/>
              <w:left w:w="90" w:type="dxa"/>
              <w:bottom w:w="80" w:type="dxa"/>
              <w:right w:w="90" w:type="dxa"/>
            </w:tcMar>
            <w:vAlign w:val="center"/>
          </w:tcPr>
          <w:p w14:paraId="2C15F619" w14:textId="77777777" w:rsidR="0064473D" w:rsidRPr="005C36C3" w:rsidRDefault="003C3567">
            <w:pPr>
              <w:rPr>
                <w:sz w:val="18"/>
                <w:szCs w:val="18"/>
              </w:rPr>
            </w:pPr>
            <w:r w:rsidRPr="005C36C3">
              <w:rPr>
                <w:sz w:val="18"/>
                <w:szCs w:val="18"/>
              </w:rPr>
              <w:t>Higher resident concern</w:t>
            </w:r>
          </w:p>
        </w:tc>
      </w:tr>
      <w:tr w:rsidR="0064473D" w14:paraId="3AF68C93" w14:textId="77777777">
        <w:trPr>
          <w:jc w:val="center"/>
        </w:trPr>
        <w:tc>
          <w:tcPr>
            <w:tcW w:w="2493" w:type="dxa"/>
            <w:tcMar>
              <w:top w:w="80" w:type="dxa"/>
              <w:left w:w="90" w:type="dxa"/>
              <w:bottom w:w="80" w:type="dxa"/>
              <w:right w:w="90" w:type="dxa"/>
            </w:tcMar>
            <w:vAlign w:val="center"/>
          </w:tcPr>
          <w:p w14:paraId="425927CA" w14:textId="77777777" w:rsidR="0064473D" w:rsidRPr="005C36C3" w:rsidRDefault="003C3567">
            <w:pPr>
              <w:rPr>
                <w:sz w:val="18"/>
                <w:szCs w:val="18"/>
              </w:rPr>
            </w:pPr>
            <w:r w:rsidRPr="005C36C3">
              <w:rPr>
                <w:b/>
                <w:sz w:val="18"/>
                <w:szCs w:val="18"/>
              </w:rPr>
              <w:t>Disruption concern</w:t>
            </w:r>
          </w:p>
        </w:tc>
        <w:tc>
          <w:tcPr>
            <w:tcW w:w="2493" w:type="dxa"/>
            <w:tcMar>
              <w:top w:w="80" w:type="dxa"/>
              <w:left w:w="90" w:type="dxa"/>
              <w:bottom w:w="80" w:type="dxa"/>
              <w:right w:w="90" w:type="dxa"/>
            </w:tcMar>
            <w:vAlign w:val="center"/>
          </w:tcPr>
          <w:p w14:paraId="71584679" w14:textId="77777777" w:rsidR="0064473D" w:rsidRPr="005C36C3" w:rsidRDefault="003C3567">
            <w:pPr>
              <w:jc w:val="center"/>
              <w:rPr>
                <w:sz w:val="18"/>
                <w:szCs w:val="18"/>
              </w:rPr>
            </w:pPr>
            <w:r w:rsidRPr="005C36C3">
              <w:rPr>
                <w:sz w:val="18"/>
                <w:szCs w:val="18"/>
              </w:rPr>
              <w:t>34.92%</w:t>
            </w:r>
          </w:p>
        </w:tc>
        <w:tc>
          <w:tcPr>
            <w:tcW w:w="2493" w:type="dxa"/>
            <w:tcMar>
              <w:top w:w="80" w:type="dxa"/>
              <w:left w:w="90" w:type="dxa"/>
              <w:bottom w:w="80" w:type="dxa"/>
              <w:right w:w="90" w:type="dxa"/>
            </w:tcMar>
            <w:vAlign w:val="center"/>
          </w:tcPr>
          <w:p w14:paraId="629484D8" w14:textId="77777777" w:rsidR="0064473D" w:rsidRPr="005C36C3" w:rsidRDefault="003C3567">
            <w:pPr>
              <w:jc w:val="center"/>
              <w:rPr>
                <w:sz w:val="18"/>
                <w:szCs w:val="18"/>
              </w:rPr>
            </w:pPr>
            <w:r w:rsidRPr="005C36C3">
              <w:rPr>
                <w:sz w:val="18"/>
                <w:szCs w:val="18"/>
              </w:rPr>
              <w:t>28.57%</w:t>
            </w:r>
          </w:p>
        </w:tc>
        <w:tc>
          <w:tcPr>
            <w:tcW w:w="2493" w:type="dxa"/>
            <w:tcMar>
              <w:top w:w="80" w:type="dxa"/>
              <w:left w:w="90" w:type="dxa"/>
              <w:bottom w:w="80" w:type="dxa"/>
              <w:right w:w="90" w:type="dxa"/>
            </w:tcMar>
            <w:vAlign w:val="center"/>
          </w:tcPr>
          <w:p w14:paraId="76B93A17" w14:textId="77777777" w:rsidR="0064473D" w:rsidRPr="005C36C3" w:rsidRDefault="003C3567">
            <w:pPr>
              <w:rPr>
                <w:sz w:val="18"/>
                <w:szCs w:val="18"/>
              </w:rPr>
            </w:pPr>
            <w:r w:rsidRPr="005C36C3">
              <w:rPr>
                <w:sz w:val="18"/>
                <w:szCs w:val="18"/>
              </w:rPr>
              <w:t>Lower resident concern</w:t>
            </w:r>
          </w:p>
        </w:tc>
      </w:tr>
    </w:tbl>
    <w:p w14:paraId="25CC103D" w14:textId="77777777" w:rsidR="005C36C3" w:rsidRDefault="003C3567" w:rsidP="005C36C3">
      <w:pPr>
        <w:pStyle w:val="BodyText"/>
      </w:pPr>
      <w:r>
        <w:t>The central conclusion is not that resident opinion contradicts the full consultation. It does not. The resident subset still supports retention and improvement. The material point is that the full sample is more heavily influenced by non-resident regular and sports users, while resident respondents place relatively greater weight on social and community space and on financial risk. Council should use the appropriate evidence for the decision being made rather than treating all consultation questions as if every respondent bears the same financial or operational relationship to the facility.</w:t>
      </w:r>
    </w:p>
    <w:p w14:paraId="6A653631" w14:textId="3872C3BE" w:rsidR="0064473D" w:rsidRPr="005C36C3" w:rsidRDefault="003C3567" w:rsidP="006B5A3A">
      <w:pPr>
        <w:pStyle w:val="Heading1"/>
      </w:pPr>
      <w:r w:rsidRPr="005C36C3">
        <w:t>Consultation Limitations</w:t>
      </w:r>
    </w:p>
    <w:p w14:paraId="47DCE3DF" w14:textId="77777777" w:rsidR="0064473D" w:rsidRDefault="003C3567">
      <w:pPr>
        <w:pStyle w:val="BodyText"/>
      </w:pPr>
      <w:r>
        <w:t>The consultation provides useful evidence of local views, but it is a self-selecting exercise rather than a statistically representative survey. No demographic weighting, sampling frame or response-rate calculation against the local population is available. The resident-filtered subset improves the relevance of the evidence to local taxation decisions, but it does not make the survey representative of all Bradley Stoke residents. The full and resident datasets also overlap by 75 respondents, so their percentages are not independent comparison groups. The results should guide Council judgement but should not be described as a referendum or as proof that the views expressed are held by the whole community.</w:t>
      </w:r>
    </w:p>
    <w:p w14:paraId="001EB556" w14:textId="77777777" w:rsidR="0064473D" w:rsidRDefault="003C3567">
      <w:pPr>
        <w:pStyle w:val="BodyText"/>
      </w:pPr>
      <w:r>
        <w:t>Questions 6 and 14 record that 73 and 63 respondents respectively submitted free-text answers, but the supplied survey export does not include the actual comments. It is therefore not possible to carry out a defensible thematic analysis of what respondents believe needs improvement or of their additional comments. Those responses should be obtained and reviewed before final project scope or communications are approved.</w:t>
      </w:r>
    </w:p>
    <w:p w14:paraId="1EB20E15" w14:textId="77777777" w:rsidR="005C36C3" w:rsidRDefault="003C3567" w:rsidP="005C36C3">
      <w:pPr>
        <w:pStyle w:val="BodyText"/>
      </w:pPr>
      <w:r>
        <w:t>Several questions permitted multiple selections, so percentages should not be totalled as though they were mutually exclusive. There is also a one-response discrepancy in the use-frequency question. These points should be acknowledged when the results are quoted publicly.</w:t>
      </w:r>
    </w:p>
    <w:p w14:paraId="49CFB49E" w14:textId="77777777" w:rsidR="005C36C3" w:rsidRDefault="005C36C3" w:rsidP="005C36C3">
      <w:pPr>
        <w:pStyle w:val="BodyText"/>
      </w:pPr>
    </w:p>
    <w:p w14:paraId="0E5E008E" w14:textId="2FD2ECB5" w:rsidR="0064473D" w:rsidRPr="005C36C3" w:rsidRDefault="003C3567" w:rsidP="006B5A3A">
      <w:pPr>
        <w:pStyle w:val="Heading1"/>
      </w:pPr>
      <w:r w:rsidRPr="005C36C3">
        <w:t>Overall Findings</w:t>
      </w:r>
    </w:p>
    <w:p w14:paraId="4748039A" w14:textId="77777777" w:rsidR="0064473D" w:rsidRDefault="003C3567">
      <w:pPr>
        <w:pStyle w:val="ListBullet"/>
      </w:pPr>
      <w:r>
        <w:t>There is a strong strategic case in the consultation for retaining Baileys Court as a long-term community facility: the average importance score was 8.72 out of 10 overall and 8.42 among Bradley Stoke residents.</w:t>
      </w:r>
    </w:p>
    <w:p w14:paraId="30BF17BE" w14:textId="77777777" w:rsidR="0064473D" w:rsidRDefault="003C3567">
      <w:pPr>
        <w:pStyle w:val="ListBullet"/>
      </w:pPr>
      <w:r>
        <w:t>Resident-only analysis does not overturn the full consultation result, but it shows that non-resident regular and sports users materially increase the full sample’s weekly-use rate and emphasis on sports changing facilities.</w:t>
      </w:r>
    </w:p>
    <w:p w14:paraId="2DFEA3F9" w14:textId="77777777" w:rsidR="0064473D" w:rsidRDefault="003C3567">
      <w:pPr>
        <w:pStyle w:val="ListBullet"/>
      </w:pPr>
      <w:r>
        <w:t>Bradley Stoke residents place relatively greater emphasis on café/social and modern community spaces and show greater concern about borrowing, debt and overall cost.</w:t>
      </w:r>
    </w:p>
    <w:p w14:paraId="1CE55A08" w14:textId="77777777" w:rsidR="0064473D" w:rsidRDefault="003C3567">
      <w:pPr>
        <w:pStyle w:val="ListBullet"/>
      </w:pPr>
      <w:r>
        <w:t>Current performance is materially weaker than perceived future importance: the existing facility scored 5.36 out of 10.</w:t>
      </w:r>
    </w:p>
    <w:p w14:paraId="25BB9ED4" w14:textId="77777777" w:rsidR="0064473D" w:rsidRDefault="003C3567">
      <w:pPr>
        <w:pStyle w:val="ListBullet"/>
      </w:pPr>
      <w:r>
        <w:t>Respondents expect refurbishment to increase use: the average likelihood score was 7.94 out of 10.</w:t>
      </w:r>
    </w:p>
    <w:p w14:paraId="29C8EE27" w14:textId="77777777" w:rsidR="0064473D" w:rsidRDefault="003C3567">
      <w:pPr>
        <w:pStyle w:val="ListBullet"/>
      </w:pPr>
      <w:r>
        <w:t>The strongest improvement priority is a café or social space, followed by modern community halls and improved sports changing rooms.</w:t>
      </w:r>
    </w:p>
    <w:p w14:paraId="1C651E6B" w14:textId="77777777" w:rsidR="0064473D" w:rsidRDefault="003C3567">
      <w:pPr>
        <w:pStyle w:val="ListBullet"/>
      </w:pPr>
      <w:r>
        <w:t>The consultation supports a mixed community, social, sports and accessibility brief rather than a narrowly sports-only scheme.</w:t>
      </w:r>
    </w:p>
    <w:p w14:paraId="6E4CB6F3" w14:textId="77777777" w:rsidR="0064473D" w:rsidRDefault="003C3567">
      <w:pPr>
        <w:pStyle w:val="ListBullet"/>
      </w:pPr>
      <w:r>
        <w:t>There is no clear public mandate for one funding route or one borrowing period.</w:t>
      </w:r>
    </w:p>
    <w:p w14:paraId="10137E71" w14:textId="77777777" w:rsidR="0064473D" w:rsidRDefault="003C3567">
      <w:pPr>
        <w:pStyle w:val="ListBullet"/>
      </w:pPr>
      <w:r>
        <w:t>Minimising total borrowing interest is important to most respondents and should be made explicit in any future options appraisal.</w:t>
      </w:r>
    </w:p>
    <w:p w14:paraId="56E679C2" w14:textId="77777777" w:rsidR="0064473D" w:rsidRDefault="003C3567">
      <w:pPr>
        <w:pStyle w:val="ListBullet"/>
      </w:pPr>
      <w:r>
        <w:t>Disruption, parking and traffic are the leading project concerns and require substantive mitigation plans.</w:t>
      </w:r>
    </w:p>
    <w:p w14:paraId="5B0A6766" w14:textId="77777777" w:rsidR="005C36C3" w:rsidRDefault="003C3567" w:rsidP="005C36C3">
      <w:pPr>
        <w:pStyle w:val="ListBullet"/>
      </w:pPr>
      <w:r>
        <w:t>The missing free-text responses are a material evidence gap and should be reviewed before final decisions are made.</w:t>
      </w:r>
    </w:p>
    <w:p w14:paraId="3AD872D3" w14:textId="77777777" w:rsidR="005C36C3" w:rsidRDefault="005C36C3" w:rsidP="005C36C3">
      <w:pPr>
        <w:pStyle w:val="ListBullet"/>
        <w:numPr>
          <w:ilvl w:val="0"/>
          <w:numId w:val="0"/>
        </w:numPr>
      </w:pPr>
    </w:p>
    <w:p w14:paraId="5EE46CB9" w14:textId="5A66F52C" w:rsidR="0064473D" w:rsidRPr="005C36C3" w:rsidRDefault="003C3567" w:rsidP="006B5A3A">
      <w:pPr>
        <w:pStyle w:val="Heading1"/>
      </w:pPr>
      <w:r w:rsidRPr="005C36C3">
        <w:t>Implications for the Next Stage</w:t>
      </w:r>
    </w:p>
    <w:p w14:paraId="7C2BCCDF" w14:textId="77777777" w:rsidR="0064473D" w:rsidRDefault="003C3567">
      <w:pPr>
        <w:pStyle w:val="BodyText"/>
      </w:pPr>
      <w:r>
        <w:t>The consultation evidence supports continued project development, but it does not authorise a particular design, final budget or funding method. The resident-filtered results strengthen the case for giving community and social functions explicit prominence and for avoiding an unduly sports-led interpretation of the consultation. The next stage should demonstrate how the project responds to the café/social function, community halls, changing facilities, kitchens and accessibility, while showing how disruption and parking will be managed.</w:t>
      </w:r>
    </w:p>
    <w:p w14:paraId="375F74C8" w14:textId="77777777" w:rsidR="0064473D" w:rsidRDefault="003C3567">
      <w:pPr>
        <w:pStyle w:val="BodyText"/>
      </w:pPr>
      <w:r>
        <w:t>Any future financial report should compare a one-off precept option with relevant borrowing terms and state both the annual impact and total lifetime interest. Particular weight should be given to the resident-filtered finance responses because the precept and borrowing consequences fall on Bradley Stoke taxpayers. However, only 50 residents answered the funding questions, support was fragmented and no option achieved majority backing. Council should therefore avoid claiming that residents have selected or endorsed a preferred funding route.</w:t>
      </w:r>
    </w:p>
    <w:p w14:paraId="540B70D3" w14:textId="581FFBE8" w:rsidR="0064473D" w:rsidRPr="005C36C3" w:rsidRDefault="003C3567" w:rsidP="006B5A3A">
      <w:pPr>
        <w:pStyle w:val="Heading1"/>
      </w:pPr>
      <w:r w:rsidRPr="005C36C3">
        <w:t>Officer Recommendation</w:t>
      </w:r>
    </w:p>
    <w:p w14:paraId="55F42FAF" w14:textId="77777777" w:rsidR="0064473D" w:rsidRDefault="003C3567">
      <w:pPr>
        <w:pStyle w:val="BodyText"/>
        <w:keepNext/>
      </w:pPr>
      <w:r>
        <w:t>It is recommended that Council:</w:t>
      </w:r>
    </w:p>
    <w:p w14:paraId="13D62F08" w14:textId="77777777" w:rsidR="0064473D" w:rsidRDefault="003C3567">
      <w:pPr>
        <w:pStyle w:val="ListNumber"/>
      </w:pPr>
      <w:r>
        <w:t>notes the full public consultation results and the separate analysis of respondents who confirmed that they live in Bradley Stoke;</w:t>
      </w:r>
    </w:p>
    <w:p w14:paraId="1AD7134F" w14:textId="77777777" w:rsidR="0064473D" w:rsidRDefault="003C3567">
      <w:pPr>
        <w:pStyle w:val="ListNumber"/>
      </w:pPr>
      <w:r>
        <w:t>recognises that both datasets provide strong evidence in favour of retaining and improving Baileys Court Activity Centre, but neither constitutes approval of a final design, budget, precept increase or borrowing proposal;</w:t>
      </w:r>
    </w:p>
    <w:p w14:paraId="480C8987" w14:textId="77777777" w:rsidR="0064473D" w:rsidRDefault="003C3567">
      <w:pPr>
        <w:pStyle w:val="ListNumber"/>
      </w:pPr>
      <w:r>
        <w:t>requires the project’s next stage to respond explicitly to the highest-ranked priorities of a café/social space, modern community halls, improved sports changing rooms, upgraded kitchens and accessible facilities;</w:t>
      </w:r>
    </w:p>
    <w:p w14:paraId="2404D2FE" w14:textId="77777777" w:rsidR="0064473D" w:rsidRDefault="003C3567">
      <w:pPr>
        <w:pStyle w:val="ListNumber"/>
      </w:pPr>
      <w:r>
        <w:t>requires parking, traffic and disruption mitigation to be included in the next project report;</w:t>
      </w:r>
    </w:p>
    <w:p w14:paraId="681F10AB" w14:textId="48920FF2" w:rsidR="0064473D" w:rsidRDefault="003C3567">
      <w:pPr>
        <w:pStyle w:val="ListNumber"/>
      </w:pPr>
      <w:r>
        <w:t xml:space="preserve">requires </w:t>
      </w:r>
      <w:r w:rsidR="006B5A3A">
        <w:t xml:space="preserve">noting of </w:t>
      </w:r>
      <w:r>
        <w:t>the resident-filtered responses on taxation and borrowing, and notes that no single funding approach achieved majority support;</w:t>
      </w:r>
    </w:p>
    <w:p w14:paraId="0ACF6B62" w14:textId="77777777" w:rsidR="0064473D" w:rsidRDefault="003C3567">
      <w:pPr>
        <w:pStyle w:val="ListNumber"/>
      </w:pPr>
      <w:r>
        <w:t>obtains and reviews the full free-text responses to Questions 6 and 14 before final scope approval; and</w:t>
      </w:r>
    </w:p>
    <w:p w14:paraId="52573A5C" w14:textId="5FA74784" w:rsidR="0064473D" w:rsidRDefault="003C3567">
      <w:pPr>
        <w:pStyle w:val="ListNumber"/>
      </w:pPr>
      <w:r>
        <w:t xml:space="preserve">publishes a clear summary </w:t>
      </w:r>
      <w:r w:rsidR="006B5A3A">
        <w:t>of</w:t>
      </w:r>
      <w:r>
        <w:t xml:space="preserve"> the response bases and methodological limitations, alongside the Council’s response to the issues raised.</w:t>
      </w:r>
    </w:p>
    <w:p w14:paraId="02ADB1D7" w14:textId="77777777" w:rsidR="006B5A3A" w:rsidRDefault="006B5A3A">
      <w:pPr>
        <w:spacing w:after="100"/>
      </w:pPr>
    </w:p>
    <w:sectPr w:rsidR="006B5A3A" w:rsidSect="00BA6F44">
      <w:headerReference w:type="default" r:id="rId21"/>
      <w:footerReference w:type="default" r:id="rId22"/>
      <w:pgSz w:w="11906" w:h="16838" w:code="9"/>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33E489" w14:textId="77777777" w:rsidR="003C3567" w:rsidRDefault="003C3567">
      <w:pPr>
        <w:spacing w:after="0" w:line="240" w:lineRule="auto"/>
      </w:pPr>
      <w:r>
        <w:separator/>
      </w:r>
    </w:p>
  </w:endnote>
  <w:endnote w:type="continuationSeparator" w:id="0">
    <w:p w14:paraId="75EA88ED" w14:textId="77777777" w:rsidR="003C3567" w:rsidRDefault="003C3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08D8C4" w14:textId="77777777" w:rsidR="0064473D" w:rsidRDefault="003C3567">
    <w:pPr>
      <w:pStyle w:val="Footer"/>
      <w:jc w:val="right"/>
    </w:pPr>
    <w:r>
      <w:rPr>
        <w:color w:val="5B6B70"/>
        <w:sz w:val="16"/>
      </w:rPr>
      <w:t xml:space="preserve">Page </w:t>
    </w:r>
    <w:r>
      <w:rPr>
        <w:color w:val="5B6B70"/>
        <w:sz w:val="16"/>
      </w:rPr>
      <w:fldChar w:fldCharType="begin"/>
    </w:r>
    <w:r>
      <w:rPr>
        <w:color w:val="5B6B70"/>
        <w:sz w:val="16"/>
      </w:rPr>
      <w:instrText>PAGE</w:instrText>
    </w:r>
    <w:r>
      <w:rPr>
        <w:color w:val="5B6B70"/>
        <w:sz w:val="16"/>
      </w:rPr>
      <w:fldChar w:fldCharType="separate"/>
    </w:r>
    <w:r w:rsidR="005C36C3">
      <w:rPr>
        <w:noProof/>
        <w:color w:val="5B6B70"/>
        <w:sz w:val="16"/>
      </w:rPr>
      <w:t>1</w:t>
    </w:r>
    <w:r>
      <w:rPr>
        <w:color w:val="5B6B7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0E9075" w14:textId="77777777" w:rsidR="003C3567" w:rsidRDefault="003C3567">
      <w:pPr>
        <w:spacing w:after="0" w:line="240" w:lineRule="auto"/>
      </w:pPr>
      <w:r>
        <w:separator/>
      </w:r>
    </w:p>
  </w:footnote>
  <w:footnote w:type="continuationSeparator" w:id="0">
    <w:p w14:paraId="012900C9" w14:textId="77777777" w:rsidR="003C3567" w:rsidRDefault="003C35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0F465" w14:textId="4B304190" w:rsidR="0064473D" w:rsidRDefault="0064473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8608593">
    <w:abstractNumId w:val="8"/>
  </w:num>
  <w:num w:numId="2" w16cid:durableId="1692881110">
    <w:abstractNumId w:val="6"/>
  </w:num>
  <w:num w:numId="3" w16cid:durableId="1953970833">
    <w:abstractNumId w:val="5"/>
  </w:num>
  <w:num w:numId="4" w16cid:durableId="336151565">
    <w:abstractNumId w:val="4"/>
  </w:num>
  <w:num w:numId="5" w16cid:durableId="1866215676">
    <w:abstractNumId w:val="7"/>
  </w:num>
  <w:num w:numId="6" w16cid:durableId="1067220449">
    <w:abstractNumId w:val="3"/>
  </w:num>
  <w:num w:numId="7" w16cid:durableId="660617705">
    <w:abstractNumId w:val="2"/>
  </w:num>
  <w:num w:numId="8" w16cid:durableId="342170926">
    <w:abstractNumId w:val="1"/>
  </w:num>
  <w:num w:numId="9" w16cid:durableId="601256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3567"/>
    <w:rsid w:val="005C36C3"/>
    <w:rsid w:val="0064473D"/>
    <w:rsid w:val="006B5A3A"/>
    <w:rsid w:val="00AA1D8D"/>
    <w:rsid w:val="00AE160A"/>
    <w:rsid w:val="00B47730"/>
    <w:rsid w:val="00B97729"/>
    <w:rsid w:val="00BA6F44"/>
    <w:rsid w:val="00CB0664"/>
    <w:rsid w:val="00D00F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BFD53"/>
  <w14:defaultImageDpi w14:val="300"/>
  <w15:docId w15:val="{EE3A04FE-07A9-4A39-BB66-A408803A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33238"/>
      <w:sz w:val="19"/>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006B5F"/>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2E7D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color w:val="006B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9"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D9B98B-74CC-4100-B01A-AA6309CE674D}">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3946C60-6695-4945-9C54-FE46861C7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D61CCD-BB02-402B-9B8C-89026D95E4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3825</Words>
  <Characters>21805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Baileys Court Activity Centre Redevelopment - Public Consultation Results Report including Resident Analysis</vt:lpstr>
    </vt:vector>
  </TitlesOfParts>
  <Manager/>
  <Company/>
  <LinksUpToDate>false</LinksUpToDate>
  <CharactersWithSpaces>25579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Baileys Court Activity Centre Redevelopment - Public Consultation Results Report including Resident Analysis</dc:title>
  <dc:subject>Public consultation results report and Bradley Stoke resident analysis for Full Council</dc:subject>
  <dc:creator>Bradley Stoke Town Council</dc:creator>
  <cp:keywords>Baileys Court, public consultation, redevelopment, Bradley Stoke Town Council</cp:keywords>
  <dc:description>generated by python-docx</dc:description>
  <cp:lastModifiedBy>Sharon Petela</cp:lastModifiedBy>
  <cp:revision>2</cp:revision>
  <cp:lastPrinted>2026-07-31T13:12:00Z</cp:lastPrinted>
  <dcterms:created xsi:type="dcterms:W3CDTF">2026-09-17T10:30:00Z</dcterms:created>
  <dcterms:modified xsi:type="dcterms:W3CDTF">2026-09-17T10:30:00Z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MediaServiceImageTags">
    <vt:lpwstr/>
  </property>
</Properties>
</file>